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Washington, D.C. 20549</w:t>
      </w:r>
    </w:p>
    <w:p>
      <w:pPr>
        <w:spacing w:after="0" w:line="307" w:lineRule="exact"/>
        <w:rPr>
          <w:sz w:val="24"/>
          <w:szCs w:val="24"/>
          <w:color w:val="auto"/>
        </w:rPr>
      </w:pPr>
    </w:p>
    <w:p>
      <w:pPr>
        <w:ind w:left="1840"/>
        <w:spacing w:after="0"/>
        <w:rPr>
          <w:sz w:val="20"/>
          <w:szCs w:val="20"/>
          <w:color w:val="auto"/>
        </w:rPr>
      </w:pPr>
      <w:r>
        <w:rPr>
          <w:rFonts w:ascii="Arial" w:cs="Arial" w:eastAsia="Arial" w:hAnsi="Arial"/>
          <w:sz w:val="22"/>
          <w:szCs w:val="22"/>
          <w:color w:val="auto"/>
        </w:rPr>
        <w:t>____________________________________________________________</w:t>
      </w:r>
    </w:p>
    <w:p>
      <w:pPr>
        <w:spacing w:after="0" w:line="200" w:lineRule="exact"/>
        <w:rPr>
          <w:sz w:val="24"/>
          <w:szCs w:val="24"/>
          <w:color w:val="auto"/>
        </w:rPr>
      </w:pPr>
    </w:p>
    <w:p>
      <w:pPr>
        <w:spacing w:after="0" w:line="33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6-K</w:t>
      </w:r>
    </w:p>
    <w:p>
      <w:pPr>
        <w:spacing w:after="0" w:line="334" w:lineRule="exact"/>
        <w:rPr>
          <w:sz w:val="24"/>
          <w:szCs w:val="24"/>
          <w:color w:val="auto"/>
        </w:rPr>
      </w:pPr>
    </w:p>
    <w:p>
      <w:pPr>
        <w:ind w:left="1840"/>
        <w:spacing w:after="0"/>
        <w:rPr>
          <w:sz w:val="20"/>
          <w:szCs w:val="20"/>
          <w:color w:val="auto"/>
        </w:rPr>
      </w:pPr>
      <w:r>
        <w:rPr>
          <w:rFonts w:ascii="Arial" w:cs="Arial" w:eastAsia="Arial" w:hAnsi="Arial"/>
          <w:sz w:val="22"/>
          <w:szCs w:val="22"/>
          <w:b w:val="1"/>
          <w:bCs w:val="1"/>
          <w:color w:val="auto"/>
        </w:rPr>
        <w:t>____________________________________________________________</w:t>
      </w:r>
    </w:p>
    <w:p>
      <w:pPr>
        <w:spacing w:after="0" w:line="251" w:lineRule="exact"/>
        <w:rPr>
          <w:sz w:val="24"/>
          <w:szCs w:val="24"/>
          <w:color w:val="auto"/>
        </w:rPr>
      </w:pPr>
    </w:p>
    <w:p>
      <w:pPr>
        <w:jc w:val="center"/>
        <w:spacing w:after="0" w:line="265" w:lineRule="auto"/>
        <w:rPr>
          <w:sz w:val="20"/>
          <w:szCs w:val="20"/>
          <w:color w:val="auto"/>
        </w:rPr>
      </w:pPr>
      <w:r>
        <w:rPr>
          <w:rFonts w:ascii="Arial" w:cs="Arial" w:eastAsia="Arial" w:hAnsi="Arial"/>
          <w:sz w:val="25"/>
          <w:szCs w:val="25"/>
          <w:b w:val="1"/>
          <w:bCs w:val="1"/>
          <w:color w:val="auto"/>
        </w:rPr>
        <w:t>REPORT OF FOREIGN PRIVATE ISSUER PURSUANT TO RULE 13a-16 OR 15d-16 UNDER THE SECURITIES EXCHANGE ACT OF 1934</w:t>
      </w:r>
    </w:p>
    <w:p>
      <w:pPr>
        <w:spacing w:after="0" w:line="17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 the month of May 2023</w:t>
      </w:r>
    </w:p>
    <w:p>
      <w:pPr>
        <w:spacing w:after="0" w:line="206"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 xml:space="preserve">Commission File Number: </w:t>
      </w:r>
      <w:r>
        <w:rPr>
          <w:rFonts w:ascii="Arial" w:cs="Arial" w:eastAsia="Arial" w:hAnsi="Arial"/>
          <w:sz w:val="22"/>
          <w:szCs w:val="22"/>
          <w:b w:val="1"/>
          <w:bCs w:val="1"/>
          <w:color w:val="auto"/>
        </w:rPr>
        <w:t>001-41066</w:t>
      </w:r>
    </w:p>
    <w:p>
      <w:pPr>
        <w:spacing w:after="0" w:line="206" w:lineRule="exact"/>
        <w:rPr>
          <w:sz w:val="24"/>
          <w:szCs w:val="24"/>
          <w:color w:val="auto"/>
        </w:rPr>
      </w:pPr>
    </w:p>
    <w:p>
      <w:pPr>
        <w:ind w:left="1820"/>
        <w:spacing w:after="0"/>
        <w:rPr>
          <w:sz w:val="20"/>
          <w:szCs w:val="20"/>
          <w:color w:val="auto"/>
        </w:rPr>
      </w:pPr>
      <w:r>
        <w:rPr>
          <w:rFonts w:ascii="Arial" w:cs="Arial" w:eastAsia="Arial" w:hAnsi="Arial"/>
          <w:sz w:val="22"/>
          <w:szCs w:val="22"/>
          <w:b w:val="1"/>
          <w:bCs w:val="1"/>
          <w:color w:val="auto"/>
        </w:rPr>
        <w:t>____________________________________________________________</w:t>
      </w:r>
    </w:p>
    <w:p>
      <w:pPr>
        <w:spacing w:after="0" w:line="181" w:lineRule="exact"/>
        <w:rPr>
          <w:sz w:val="24"/>
          <w:szCs w:val="24"/>
          <w:color w:val="auto"/>
        </w:rPr>
      </w:pPr>
    </w:p>
    <w:p>
      <w:pPr>
        <w:jc w:val="center"/>
        <w:spacing w:after="0"/>
        <w:rPr>
          <w:sz w:val="20"/>
          <w:szCs w:val="20"/>
          <w:color w:val="auto"/>
        </w:rPr>
      </w:pPr>
      <w:r>
        <w:rPr>
          <w:rFonts w:ascii="Arial" w:cs="Arial" w:eastAsia="Arial" w:hAnsi="Arial"/>
          <w:sz w:val="47"/>
          <w:szCs w:val="47"/>
          <w:b w:val="1"/>
          <w:bCs w:val="1"/>
          <w:color w:val="auto"/>
        </w:rPr>
        <w:t>Sono Group N.V.</w:t>
      </w:r>
    </w:p>
    <w:p>
      <w:pPr>
        <w:spacing w:after="0" w:line="35"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(Registrant’s name)</w:t>
      </w:r>
    </w:p>
    <w:p>
      <w:pPr>
        <w:spacing w:after="0" w:line="188" w:lineRule="exact"/>
        <w:rPr>
          <w:sz w:val="24"/>
          <w:szCs w:val="24"/>
          <w:color w:val="auto"/>
        </w:rPr>
      </w:pPr>
    </w:p>
    <w:p>
      <w:pPr>
        <w:ind w:left="1840"/>
        <w:spacing w:after="0"/>
        <w:rPr>
          <w:sz w:val="20"/>
          <w:szCs w:val="20"/>
          <w:color w:val="auto"/>
        </w:rPr>
      </w:pPr>
      <w:r>
        <w:rPr>
          <w:rFonts w:ascii="Arial" w:cs="Arial" w:eastAsia="Arial" w:hAnsi="Arial"/>
          <w:sz w:val="22"/>
          <w:szCs w:val="22"/>
          <w:color w:val="auto"/>
        </w:rPr>
        <w:t>____________________________________________________________</w:t>
      </w:r>
    </w:p>
    <w:p>
      <w:pPr>
        <w:spacing w:after="0" w:line="245"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Waldmeisterstraße 76</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80935 Munich</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Germany</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(Address of principal executive offices)</w:t>
      </w:r>
    </w:p>
    <w:p>
      <w:pPr>
        <w:spacing w:after="0" w:line="229" w:lineRule="exact"/>
        <w:rPr>
          <w:sz w:val="24"/>
          <w:szCs w:val="24"/>
          <w:color w:val="auto"/>
        </w:rPr>
      </w:pPr>
    </w:p>
    <w:p>
      <w:pPr>
        <w:ind w:left="1840"/>
        <w:spacing w:after="0"/>
        <w:rPr>
          <w:sz w:val="20"/>
          <w:szCs w:val="20"/>
          <w:color w:val="auto"/>
        </w:rPr>
      </w:pPr>
      <w:r>
        <w:rPr>
          <w:rFonts w:ascii="Arial" w:cs="Arial" w:eastAsia="Arial" w:hAnsi="Arial"/>
          <w:sz w:val="22"/>
          <w:szCs w:val="22"/>
          <w:color w:val="auto"/>
        </w:rPr>
        <w:t>____________________________________________________________</w:t>
      </w:r>
    </w:p>
    <w:p>
      <w:pPr>
        <w:spacing w:after="0" w:line="206" w:lineRule="exact"/>
        <w:rPr>
          <w:sz w:val="24"/>
          <w:szCs w:val="24"/>
          <w:color w:val="auto"/>
        </w:rPr>
      </w:pPr>
    </w:p>
    <w:p>
      <w:pPr>
        <w:jc w:val="center"/>
        <w:spacing w:after="0" w:line="455" w:lineRule="auto"/>
        <w:rPr>
          <w:sz w:val="20"/>
          <w:szCs w:val="20"/>
          <w:color w:val="auto"/>
        </w:rPr>
      </w:pPr>
      <w:r>
        <w:rPr>
          <w:rFonts w:ascii="Arial" w:cs="Arial" w:eastAsia="Arial" w:hAnsi="Arial"/>
          <w:sz w:val="22"/>
          <w:szCs w:val="22"/>
          <w:color w:val="auto"/>
        </w:rPr>
        <w:t>Indicate by check mark whether the registrant files or will file annual reports under cover of Form 20-F or Form 40-F. Form 20-F [ X ]   Form 40-F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-339090</wp:posOffset>
            </wp:positionH>
            <wp:positionV relativeFrom="paragraph">
              <wp:posOffset>-13970</wp:posOffset>
            </wp:positionV>
            <wp:extent cx="7136130"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0180"/>
          </w:cols>
          <w:pgMar w:left="860" w:top="598" w:right="859" w:bottom="1440" w:gutter="0" w:footer="0" w:header="0"/>
        </w:sectPr>
      </w:pPr>
    </w:p>
    <w:bookmarkStart w:id="1" w:name="page2"/>
    <w:bookmarkEnd w:id="1"/>
    <w:p>
      <w:pPr>
        <w:ind w:right="140"/>
        <w:spacing w:after="0" w:line="248" w:lineRule="auto"/>
        <w:rPr>
          <w:sz w:val="20"/>
          <w:szCs w:val="20"/>
          <w:color w:val="auto"/>
        </w:rPr>
      </w:pPr>
      <w:r>
        <w:rPr>
          <w:rFonts w:ascii="Arial" w:cs="Arial" w:eastAsia="Arial" w:hAnsi="Arial"/>
          <w:sz w:val="20"/>
          <w:szCs w:val="20"/>
          <w:b w:val="1"/>
          <w:bCs w:val="1"/>
          <w:color w:val="auto"/>
        </w:rPr>
        <w:t>Applicatons for self-administraton proceedings with respect to Sono Group N.V. and Sono Motors GmbH under the German Insolvency Act</w:t>
      </w:r>
    </w:p>
    <w:p>
      <w:pPr>
        <w:spacing w:after="0" w:line="92" w:lineRule="exact"/>
        <w:rPr>
          <w:sz w:val="20"/>
          <w:szCs w:val="20"/>
          <w:color w:val="auto"/>
        </w:rPr>
      </w:pPr>
    </w:p>
    <w:p>
      <w:pPr>
        <w:spacing w:after="0"/>
        <w:rPr>
          <w:sz w:val="20"/>
          <w:szCs w:val="20"/>
          <w:color w:val="auto"/>
        </w:rPr>
      </w:pPr>
      <w:r>
        <w:rPr>
          <w:rFonts w:ascii="Arial" w:cs="Arial" w:eastAsia="Arial" w:hAnsi="Arial"/>
          <w:sz w:val="19"/>
          <w:szCs w:val="19"/>
          <w:color w:val="auto"/>
        </w:rPr>
        <w:t>On May 15, 2023, Sono Group N.V. applied to the insolvency court of Munich, Germany, to permit the opening of a self-administraton</w:t>
      </w:r>
    </w:p>
    <w:p>
      <w:pPr>
        <w:spacing w:after="0" w:line="18" w:lineRule="exact"/>
        <w:rPr>
          <w:sz w:val="20"/>
          <w:szCs w:val="20"/>
          <w:color w:val="auto"/>
        </w:rPr>
      </w:pPr>
    </w:p>
    <w:p>
      <w:pPr>
        <w:spacing w:after="0"/>
        <w:rPr>
          <w:sz w:val="20"/>
          <w:szCs w:val="20"/>
          <w:color w:val="auto"/>
        </w:rPr>
      </w:pPr>
      <w:r>
        <w:rPr>
          <w:rFonts w:ascii="Arial" w:cs="Arial" w:eastAsia="Arial" w:hAnsi="Arial"/>
          <w:sz w:val="20"/>
          <w:szCs w:val="20"/>
          <w:color w:val="auto"/>
        </w:rPr>
        <w:t>proceeding (</w:t>
      </w:r>
      <w:r>
        <w:rPr>
          <w:rFonts w:ascii="Arial" w:cs="Arial" w:eastAsia="Arial" w:hAnsi="Arial"/>
          <w:sz w:val="20"/>
          <w:szCs w:val="20"/>
          <w:i w:val="1"/>
          <w:iCs w:val="1"/>
          <w:color w:val="auto"/>
        </w:rPr>
        <w:t>Eigenverwaltung</w:t>
      </w:r>
      <w:r>
        <w:rPr>
          <w:rFonts w:ascii="Arial" w:cs="Arial" w:eastAsia="Arial" w:hAnsi="Arial"/>
          <w:sz w:val="20"/>
          <w:szCs w:val="20"/>
          <w:color w:val="auto"/>
        </w:rPr>
        <w:t>) with respect to Sono Group N.V. pursuant to Secton 270 (b) of the German Insolvency Code</w:t>
      </w:r>
    </w:p>
    <w:p>
      <w:pPr>
        <w:spacing w:after="0" w:line="23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Insolvenzordnung</w:t>
      </w:r>
      <w:r>
        <w:rPr>
          <w:rFonts w:ascii="Arial" w:cs="Arial" w:eastAsia="Arial" w:hAnsi="Arial"/>
          <w:sz w:val="18"/>
          <w:szCs w:val="18"/>
          <w:color w:val="auto"/>
        </w:rPr>
        <w:t>). On the same day, Sono Motors GmbH, Sono Group N.V.’s sole wholly-owned subsidiary, applied to the same court to</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permit the opening of self-administraton proceeding in the form of a protectve shield proceeding (</w:t>
      </w:r>
      <w:r>
        <w:rPr>
          <w:rFonts w:ascii="Arial" w:cs="Arial" w:eastAsia="Arial" w:hAnsi="Arial"/>
          <w:sz w:val="18"/>
          <w:szCs w:val="18"/>
          <w:i w:val="1"/>
          <w:iCs w:val="1"/>
          <w:color w:val="auto"/>
        </w:rPr>
        <w:t>Schutzschirmverfahren</w:t>
      </w:r>
      <w:r>
        <w:rPr>
          <w:rFonts w:ascii="Arial" w:cs="Arial" w:eastAsia="Arial" w:hAnsi="Arial"/>
          <w:sz w:val="18"/>
          <w:szCs w:val="18"/>
          <w:color w:val="auto"/>
        </w:rPr>
        <w:t>) with respect 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Sono Motors GmbH pursuant Secton 270 (d) of the German Insolvency Code. Sono Group N.V. conducts its business through its subsidiary</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Sono Motors GmbH, and the terms “we” and “our” used herein refer to Sono Group N.V. together with its subsidiary Sono Motors GmbH.</w:t>
      </w:r>
    </w:p>
    <w:p>
      <w:pPr>
        <w:spacing w:after="0" w:line="114"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At the end of February 2023, we announced our decision to restructure our business model to focus exclusively on retroftng and integratng solar technology into third-party vehicles going forward. At the same tme, we discontnued our Sion passenger car program with immediate efect and terminated approximately 250 employees. A repayment plan was developed to handle customer claims arising from the Sion reservatons. We contnued to face challenges to obtain external fnancing and to date have not been successful in selling our Sion passenger car project and related assets. Afer other fnancing optons failed to materialize, our management ultmately concluded that Sono Motors GmbH is over-indebted and faces impending illiquidity (</w:t>
      </w:r>
      <w:r>
        <w:rPr>
          <w:rFonts w:ascii="Arial" w:cs="Arial" w:eastAsia="Arial" w:hAnsi="Arial"/>
          <w:sz w:val="18"/>
          <w:szCs w:val="18"/>
          <w:i w:val="1"/>
          <w:iCs w:val="1"/>
          <w:color w:val="auto"/>
        </w:rPr>
        <w:t>drohende Zahlungsunfähigkeit</w:t>
      </w:r>
      <w:r>
        <w:rPr>
          <w:rFonts w:ascii="Arial" w:cs="Arial" w:eastAsia="Arial" w:hAnsi="Arial"/>
          <w:sz w:val="18"/>
          <w:szCs w:val="18"/>
          <w:color w:val="auto"/>
        </w:rPr>
        <w:t>), with Sono Group N.V., in turn, becoming over-indebted and also facing impending illiquidity. As a consequence, management decided to apply for the opening of self-administraton proceedings with respect to Sono Group N.V. and Sono Motors GmbH with the goal of sustainably restructuring our business.</w:t>
      </w:r>
    </w:p>
    <w:p>
      <w:pPr>
        <w:spacing w:after="0" w:line="90" w:lineRule="exact"/>
        <w:rPr>
          <w:sz w:val="20"/>
          <w:szCs w:val="20"/>
          <w:color w:val="auto"/>
        </w:rPr>
      </w:pPr>
    </w:p>
    <w:p>
      <w:pPr>
        <w:spacing w:after="0" w:line="236" w:lineRule="auto"/>
        <w:rPr>
          <w:sz w:val="20"/>
          <w:szCs w:val="20"/>
          <w:color w:val="auto"/>
        </w:rPr>
      </w:pPr>
      <w:r>
        <w:rPr>
          <w:rFonts w:ascii="Arial" w:cs="Arial" w:eastAsia="Arial" w:hAnsi="Arial"/>
          <w:sz w:val="19"/>
          <w:szCs w:val="19"/>
          <w:color w:val="auto"/>
        </w:rPr>
        <w:t>Self-administraton proceedings are debtor-in-possession type proceedings under German insolvency law, which are available to businesses in fnancial distress and typically aim to preserve the business and the entty that are the subject of the proceedings. In these proceedings, management retains control and operaton of the subject company’s business under the supervision of a custodian, who is initally appointed on a preliminary basis (</w:t>
      </w:r>
      <w:r>
        <w:rPr>
          <w:rFonts w:ascii="Arial" w:cs="Arial" w:eastAsia="Arial" w:hAnsi="Arial"/>
          <w:sz w:val="19"/>
          <w:szCs w:val="19"/>
          <w:i w:val="1"/>
          <w:iCs w:val="1"/>
          <w:color w:val="auto"/>
        </w:rPr>
        <w:t>vorläufger Sachwalter</w:t>
      </w:r>
      <w:r>
        <w:rPr>
          <w:rFonts w:ascii="Arial" w:cs="Arial" w:eastAsia="Arial" w:hAnsi="Arial"/>
          <w:sz w:val="19"/>
          <w:szCs w:val="19"/>
          <w:color w:val="auto"/>
        </w:rPr>
        <w:t>). We understand that in the German market a self-administraton proceeding in the form of a protectve shield proceeding, such as the one which Sono Motors GmbH has applied for, is perceived by suppliers, customers, and potental investors as a proceeding with improved chances for a successful in-court business restructuring. We believe that this percepton may improve our chances of sustainably restructuring, recapitalizing, and realigning Sono Motor GmbH’s business in the interest of its creditors, suppliers, customers, and employees. In order to be able to apply for a self-administraton proceeding in the form of a protectve shield proceedings, Sono Motors GmbH was required to provide a third-party atestaton that the company is not illiquid and that the intended restructuring does not manifestly lack the prospect of success.</w:t>
      </w:r>
    </w:p>
    <w:p>
      <w:pPr>
        <w:spacing w:after="0" w:line="120" w:lineRule="exact"/>
        <w:rPr>
          <w:sz w:val="20"/>
          <w:szCs w:val="20"/>
          <w:color w:val="auto"/>
        </w:rPr>
      </w:pPr>
    </w:p>
    <w:p>
      <w:pPr>
        <w:ind w:right="160"/>
        <w:spacing w:after="0" w:line="238" w:lineRule="auto"/>
        <w:rPr>
          <w:sz w:val="20"/>
          <w:szCs w:val="20"/>
          <w:color w:val="auto"/>
        </w:rPr>
      </w:pPr>
      <w:r>
        <w:rPr>
          <w:rFonts w:ascii="Arial" w:cs="Arial" w:eastAsia="Arial" w:hAnsi="Arial"/>
          <w:sz w:val="19"/>
          <w:szCs w:val="19"/>
          <w:color w:val="auto"/>
        </w:rPr>
        <w:t>Following the fling of their respectve applicatons, Sono Group N.V. and Sono Motors GmbH are generally prohibited from repaying any pre-applicaton debt. Furthermore, if and when the self-administraton proceedings are admited by the court on a preliminary basis, creditors will be prohibited from foreclosing against the companies on any claims they may have. In additon, subject to certain limited exceptons, Sono Group N.V. will lose control of its sole subsidiary Sono Motors GmbH. We are in the process of analyzing the potental accountng and fnancial reportng implicatons of the applicatons for self-administraton proceedings, including with respect to the ability of Sono Group N.V. to contnue to consolidate Sono Motors GmbH while such proceedings are ongoing.</w:t>
      </w:r>
    </w:p>
    <w:p>
      <w:pPr>
        <w:spacing w:after="0" w:line="104" w:lineRule="exact"/>
        <w:rPr>
          <w:sz w:val="20"/>
          <w:szCs w:val="20"/>
          <w:color w:val="auto"/>
        </w:rPr>
      </w:pPr>
    </w:p>
    <w:p>
      <w:pPr>
        <w:ind w:right="140"/>
        <w:spacing w:after="0" w:line="230" w:lineRule="auto"/>
        <w:rPr>
          <w:sz w:val="20"/>
          <w:szCs w:val="20"/>
          <w:color w:val="auto"/>
        </w:rPr>
      </w:pPr>
      <w:r>
        <w:rPr>
          <w:rFonts w:ascii="Arial" w:cs="Arial" w:eastAsia="Arial" w:hAnsi="Arial"/>
          <w:sz w:val="20"/>
          <w:szCs w:val="20"/>
          <w:color w:val="auto"/>
        </w:rPr>
        <w:t>With the help of external advisors, Sono Group N.V. and Sono Motors GmbH are in the process of each preparing a draf restructuring plan to be submited to the court for approval by the respectve company’s creditors and for confrmaton by the court in the context of the respectve proceeding. The draf restructuring plans will in each case set out how the respectve company intends to restructure its debt and to procure the infow of new money.</w:t>
      </w:r>
    </w:p>
    <w:p>
      <w:pPr>
        <w:spacing w:after="0" w:line="117" w:lineRule="exact"/>
        <w:rPr>
          <w:sz w:val="20"/>
          <w:szCs w:val="20"/>
          <w:color w:val="auto"/>
        </w:rPr>
      </w:pPr>
    </w:p>
    <w:p>
      <w:pPr>
        <w:ind w:right="20"/>
        <w:spacing w:after="0" w:line="226" w:lineRule="auto"/>
        <w:rPr>
          <w:sz w:val="20"/>
          <w:szCs w:val="20"/>
          <w:color w:val="auto"/>
        </w:rPr>
      </w:pPr>
      <w:r>
        <w:rPr>
          <w:rFonts w:ascii="Arial" w:cs="Arial" w:eastAsia="Arial" w:hAnsi="Arial"/>
          <w:sz w:val="20"/>
          <w:szCs w:val="20"/>
          <w:color w:val="auto"/>
        </w:rPr>
        <w:t>Even if the openings of the respectve proceedings are permited by the court, the successful conclusion of the respectve proceedings and Sono Group N.V.’s and Sono Motors GmbH’s exits from the respectve proceedings remain subject to a number of contngencies and risks, including, but not limited to, (i) whether the companies are able to identfy and successfully access sufcient sources of liquidity to enable a restructuring, (ii) whether creditors in each case approve the respectve restructuring plan with the required majorites, and (iii) whether the court confrms the restructuring plan in each case. Should the self-administraton proceedings applied for by Sono Group N.V. and Sono Motors GmbH, respectvely, not be approved or should the respectve draf restructuring plan fail to be approved by the respectve company’s creditors or confrmed by the court, the respectve company would become subject to regular insolvency proceedings, which could involve its liquidaton.</w:t>
      </w:r>
    </w:p>
    <w:p>
      <w:pPr>
        <w:spacing w:after="0" w:line="10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This Document</w:t>
      </w:r>
    </w:p>
    <w:p>
      <w:pPr>
        <w:spacing w:after="0" w:line="121" w:lineRule="exact"/>
        <w:rPr>
          <w:sz w:val="20"/>
          <w:szCs w:val="20"/>
          <w:color w:val="auto"/>
        </w:rPr>
      </w:pPr>
    </w:p>
    <w:p>
      <w:pPr>
        <w:spacing w:after="0" w:line="237" w:lineRule="auto"/>
        <w:rPr>
          <w:sz w:val="20"/>
          <w:szCs w:val="20"/>
          <w:color w:val="auto"/>
        </w:rPr>
      </w:pPr>
      <w:r>
        <w:rPr>
          <w:rFonts w:ascii="Arial" w:cs="Arial" w:eastAsia="Arial" w:hAnsi="Arial"/>
          <w:sz w:val="20"/>
          <w:szCs w:val="20"/>
          <w:color w:val="auto"/>
        </w:rPr>
        <w:t>The informaton included in this Form 6-K shall not be deemed “fled” for purposes of Secton 18 of the Securites Exchange Act of 1934 (the “Exchange Act”) or otherwise subject to the liabilites of that secton, nor shall it be deemed incorporated by reference in any fling under the Securites Act of 1933 or the Exchange Act.</w:t>
      </w:r>
    </w:p>
    <w:p>
      <w:pPr>
        <w:spacing w:after="0" w:line="1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121" w:lineRule="exact"/>
        <w:rPr>
          <w:sz w:val="20"/>
          <w:szCs w:val="20"/>
          <w:color w:val="auto"/>
        </w:rPr>
      </w:pPr>
    </w:p>
    <w:p>
      <w:pPr>
        <w:spacing w:after="0" w:line="235" w:lineRule="auto"/>
        <w:rPr>
          <w:sz w:val="20"/>
          <w:szCs w:val="20"/>
          <w:color w:val="auto"/>
        </w:rPr>
      </w:pPr>
      <w:r>
        <w:rPr>
          <w:rFonts w:ascii="Arial" w:cs="Arial" w:eastAsia="Arial" w:hAnsi="Arial"/>
          <w:sz w:val="19"/>
          <w:szCs w:val="19"/>
          <w:color w:val="auto"/>
        </w:rPr>
        <w:t>This document includes forward-looking statements. The words "expect", "antcipate", "intend", "plan", "estmate", "aim", "forecast", "project", "target", “will” and similar expressions (or their negatve) identfy certain of these forward-looking statements. These forward-looking statements are statements regarding the Company's intentons, beliefs, or current expectatons. Forward-looking statements involve inherent known and unknown risks, uncertaintes, and contngencies because they relate to events and depend on circumstances that may or may not occur in the future and may cause the actual results, performance, or achievements of the Company to be materially diferent from those expressed or implied by such forward looking statements. These risks, uncertaintes and assumptons include, but are not limited to, risks, uncertaintes and assumptons with respect to: our expectatons regarding the self-administraton proceedings, for which Sono Group N.V. and Sono Motors GmbH have applied, the outcome of which, if they are approved, is uncertain; our ability to maintain relatonships with lenders, suppliers, customers, employees and other third partes as a result of our applicaton for the opening of self-administraton proceedings and the related increased performance and credit risks associated with our constrained liquidity positon and capital structure; our ability to access the external funding required to successfully restructure our business; our ability to maintain Sono Group N.V.’s stock exchange listng; and the length of tme that we would operate under the self-administraton proceedings, if these are approved. Many of these risks and uncertaintes relate to factors that are beyond the Company’s ability to control or estmate precisely, such as the actons of courts, regulators and other factors. Readers should therefore not place undue reliance on these statements, partcularly not in connecton with any contract or investment decision. Except as required by law, the Company assumes no obligaton to update any such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20"/>
          </w:cols>
          <w:pgMar w:left="320" w:top="304" w:right="359" w:bottom="734" w:gutter="0" w:footer="0" w:header="0"/>
        </w:sectPr>
      </w:pPr>
    </w:p>
    <w:bookmarkStart w:id="2" w:name="page3"/>
    <w:bookmarkEnd w:id="2"/>
    <w:p>
      <w:pPr>
        <w:jc w:val="center"/>
        <w:ind w:right="-99"/>
        <w:spacing w:after="0"/>
        <w:rPr>
          <w:sz w:val="20"/>
          <w:szCs w:val="20"/>
          <w:color w:val="auto"/>
        </w:rPr>
      </w:pPr>
      <w:r>
        <w:rPr>
          <w:rFonts w:ascii="Arial" w:cs="Arial" w:eastAsia="Arial" w:hAnsi="Arial"/>
          <w:sz w:val="22"/>
          <w:szCs w:val="22"/>
          <w:b w:val="1"/>
          <w:bCs w:val="1"/>
          <w:color w:val="auto"/>
        </w:rPr>
        <w:t>SIGNATURES</w:t>
      </w:r>
    </w:p>
    <w:p>
      <w:pPr>
        <w:spacing w:after="0" w:line="212"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80" w:type="dxa"/>
            <w:vAlign w:val="bottom"/>
          </w:tcPr>
          <w:p>
            <w:pPr>
              <w:spacing w:after="0"/>
              <w:rPr>
                <w:sz w:val="17"/>
                <w:szCs w:val="17"/>
                <w:color w:val="auto"/>
              </w:rPr>
            </w:pPr>
          </w:p>
        </w:tc>
        <w:tc>
          <w:tcPr>
            <w:tcW w:w="38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18"/>
                <w:szCs w:val="18"/>
                <w:b w:val="1"/>
                <w:bCs w:val="1"/>
                <w:color w:val="auto"/>
                <w:w w:val="91"/>
              </w:rPr>
              <w:t>Sono Group N.V.</w:t>
            </w:r>
          </w:p>
        </w:tc>
        <w:tc>
          <w:tcPr>
            <w:tcW w:w="1460" w:type="dxa"/>
            <w:vAlign w:val="bottom"/>
          </w:tcPr>
          <w:p>
            <w:pPr>
              <w:spacing w:after="0"/>
              <w:rPr>
                <w:sz w:val="17"/>
                <w:szCs w:val="17"/>
                <w:color w:val="auto"/>
              </w:rPr>
            </w:pPr>
          </w:p>
        </w:tc>
      </w:tr>
      <w:tr>
        <w:trPr>
          <w:trHeight w:val="237"/>
        </w:trPr>
        <w:tc>
          <w:tcPr>
            <w:tcW w:w="388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120" w:type="dxa"/>
            <w:vAlign w:val="bottom"/>
            <w:gridSpan w:val="3"/>
          </w:tcPr>
          <w:p>
            <w:pPr>
              <w:jc w:val="center"/>
              <w:ind w:right="1480"/>
              <w:spacing w:after="0"/>
              <w:rPr>
                <w:sz w:val="20"/>
                <w:szCs w:val="20"/>
                <w:color w:val="auto"/>
              </w:rPr>
            </w:pPr>
            <w:r>
              <w:rPr>
                <w:rFonts w:ascii="Arial" w:cs="Arial" w:eastAsia="Arial" w:hAnsi="Arial"/>
                <w:sz w:val="18"/>
                <w:szCs w:val="18"/>
                <w:color w:val="auto"/>
                <w:w w:val="89"/>
              </w:rPr>
              <w:t>(Registrant)</w:t>
            </w:r>
          </w:p>
        </w:tc>
      </w:tr>
      <w:tr>
        <w:trPr>
          <w:trHeight w:val="608"/>
        </w:trPr>
        <w:tc>
          <w:tcPr>
            <w:tcW w:w="3880" w:type="dxa"/>
            <w:vAlign w:val="bottom"/>
          </w:tcPr>
          <w:p>
            <w:pPr>
              <w:spacing w:after="0"/>
              <w:rPr>
                <w:sz w:val="20"/>
                <w:szCs w:val="20"/>
                <w:color w:val="auto"/>
              </w:rPr>
            </w:pPr>
            <w:r>
              <w:rPr>
                <w:rFonts w:ascii="Arial" w:cs="Arial" w:eastAsia="Arial" w:hAnsi="Arial"/>
                <w:sz w:val="18"/>
                <w:szCs w:val="18"/>
                <w:color w:val="auto"/>
              </w:rPr>
              <w:t>Date: May 15, 2023</w:t>
            </w:r>
          </w:p>
        </w:tc>
        <w:tc>
          <w:tcPr>
            <w:tcW w:w="38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18"/>
                <w:szCs w:val="18"/>
                <w:color w:val="auto"/>
                <w:w w:val="89"/>
              </w:rPr>
              <w:t>/s/ Jona Christians</w:t>
            </w:r>
          </w:p>
        </w:tc>
        <w:tc>
          <w:tcPr>
            <w:tcW w:w="1460" w:type="dxa"/>
            <w:vAlign w:val="bottom"/>
          </w:tcPr>
          <w:p>
            <w:pPr>
              <w:spacing w:after="0"/>
              <w:rPr>
                <w:sz w:val="24"/>
                <w:szCs w:val="24"/>
                <w:color w:val="auto"/>
              </w:rPr>
            </w:pPr>
          </w:p>
        </w:tc>
      </w:tr>
      <w:tr>
        <w:trPr>
          <w:trHeight w:val="222"/>
        </w:trPr>
        <w:tc>
          <w:tcPr>
            <w:tcW w:w="3880" w:type="dxa"/>
            <w:vAlign w:val="bottom"/>
          </w:tcPr>
          <w:p>
            <w:pPr>
              <w:spacing w:after="0"/>
              <w:rPr>
                <w:sz w:val="19"/>
                <w:szCs w:val="19"/>
                <w:color w:val="auto"/>
              </w:rPr>
            </w:pPr>
          </w:p>
        </w:tc>
        <w:tc>
          <w:tcPr>
            <w:tcW w:w="3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120" w:type="dxa"/>
            <w:vAlign w:val="bottom"/>
            <w:gridSpan w:val="3"/>
          </w:tcPr>
          <w:p>
            <w:pPr>
              <w:jc w:val="center"/>
              <w:ind w:right="1480"/>
              <w:spacing w:after="0"/>
              <w:rPr>
                <w:sz w:val="20"/>
                <w:szCs w:val="20"/>
                <w:color w:val="auto"/>
              </w:rPr>
            </w:pPr>
            <w:r>
              <w:rPr>
                <w:rFonts w:ascii="Arial" w:cs="Arial" w:eastAsia="Arial" w:hAnsi="Arial"/>
                <w:sz w:val="18"/>
                <w:szCs w:val="18"/>
                <w:color w:val="auto"/>
                <w:w w:val="90"/>
              </w:rPr>
              <w:t>Jona Christians</w:t>
            </w:r>
          </w:p>
        </w:tc>
      </w:tr>
      <w:tr>
        <w:trPr>
          <w:trHeight w:val="230"/>
        </w:trPr>
        <w:tc>
          <w:tcPr>
            <w:tcW w:w="3880" w:type="dxa"/>
            <w:vAlign w:val="bottom"/>
          </w:tcPr>
          <w:p>
            <w:pPr>
              <w:spacing w:after="0"/>
              <w:rPr>
                <w:sz w:val="20"/>
                <w:szCs w:val="20"/>
                <w:color w:val="auto"/>
              </w:rPr>
            </w:pPr>
          </w:p>
        </w:tc>
        <w:tc>
          <w:tcPr>
            <w:tcW w:w="7020" w:type="dxa"/>
            <w:vAlign w:val="bottom"/>
            <w:gridSpan w:val="5"/>
          </w:tcPr>
          <w:p>
            <w:pPr>
              <w:jc w:val="center"/>
              <w:ind w:left="2330"/>
              <w:spacing w:after="0"/>
              <w:rPr>
                <w:sz w:val="20"/>
                <w:szCs w:val="20"/>
                <w:color w:val="auto"/>
              </w:rPr>
            </w:pPr>
            <w:r>
              <w:rPr>
                <w:rFonts w:ascii="Arial" w:cs="Arial" w:eastAsia="Arial" w:hAnsi="Arial"/>
                <w:sz w:val="18"/>
                <w:szCs w:val="18"/>
                <w:color w:val="auto"/>
                <w:w w:val="91"/>
              </w:rPr>
              <w:t>Chief Executive Officer and Member of the Management Board</w:t>
            </w:r>
          </w:p>
        </w:tc>
      </w:tr>
      <w:tr>
        <w:trPr>
          <w:trHeight w:val="392"/>
        </w:trPr>
        <w:tc>
          <w:tcPr>
            <w:tcW w:w="3880" w:type="dxa"/>
            <w:vAlign w:val="bottom"/>
          </w:tcPr>
          <w:p>
            <w:pPr>
              <w:spacing w:after="0"/>
              <w:rPr>
                <w:sz w:val="20"/>
                <w:szCs w:val="20"/>
                <w:color w:val="auto"/>
              </w:rPr>
            </w:pPr>
            <w:r>
              <w:rPr>
                <w:rFonts w:ascii="Arial" w:cs="Arial" w:eastAsia="Arial" w:hAnsi="Arial"/>
                <w:sz w:val="18"/>
                <w:szCs w:val="18"/>
                <w:color w:val="auto"/>
              </w:rPr>
              <w:t>Date: May 15, 2023</w:t>
            </w:r>
          </w:p>
        </w:tc>
        <w:tc>
          <w:tcPr>
            <w:tcW w:w="3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Torsten Kiedel</w:t>
            </w:r>
          </w:p>
        </w:tc>
        <w:tc>
          <w:tcPr>
            <w:tcW w:w="1480" w:type="dxa"/>
            <w:vAlign w:val="bottom"/>
            <w:gridSpan w:val="2"/>
          </w:tcPr>
          <w:p>
            <w:pPr>
              <w:spacing w:after="0"/>
              <w:rPr>
                <w:sz w:val="24"/>
                <w:szCs w:val="24"/>
                <w:color w:val="auto"/>
              </w:rPr>
            </w:pPr>
          </w:p>
        </w:tc>
      </w:tr>
      <w:tr>
        <w:trPr>
          <w:trHeight w:val="222"/>
        </w:trPr>
        <w:tc>
          <w:tcPr>
            <w:tcW w:w="3880" w:type="dxa"/>
            <w:vAlign w:val="bottom"/>
          </w:tcPr>
          <w:p>
            <w:pPr>
              <w:spacing w:after="0"/>
              <w:rPr>
                <w:sz w:val="19"/>
                <w:szCs w:val="19"/>
                <w:color w:val="auto"/>
              </w:rPr>
            </w:pPr>
          </w:p>
        </w:tc>
        <w:tc>
          <w:tcPr>
            <w:tcW w:w="3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120" w:type="dxa"/>
            <w:vAlign w:val="bottom"/>
            <w:gridSpan w:val="3"/>
          </w:tcPr>
          <w:p>
            <w:pPr>
              <w:jc w:val="center"/>
              <w:ind w:right="1480"/>
              <w:spacing w:after="0"/>
              <w:rPr>
                <w:sz w:val="20"/>
                <w:szCs w:val="20"/>
                <w:color w:val="auto"/>
              </w:rPr>
            </w:pPr>
            <w:r>
              <w:rPr>
                <w:rFonts w:ascii="Arial" w:cs="Arial" w:eastAsia="Arial" w:hAnsi="Arial"/>
                <w:sz w:val="18"/>
                <w:szCs w:val="18"/>
                <w:color w:val="auto"/>
                <w:w w:val="93"/>
              </w:rPr>
              <w:t>Torsten Kiedel</w:t>
            </w:r>
          </w:p>
        </w:tc>
      </w:tr>
      <w:tr>
        <w:trPr>
          <w:trHeight w:val="230"/>
        </w:trPr>
        <w:tc>
          <w:tcPr>
            <w:tcW w:w="3880" w:type="dxa"/>
            <w:vAlign w:val="bottom"/>
          </w:tcPr>
          <w:p>
            <w:pPr>
              <w:spacing w:after="0"/>
              <w:rPr>
                <w:sz w:val="20"/>
                <w:szCs w:val="20"/>
                <w:color w:val="auto"/>
              </w:rPr>
            </w:pPr>
          </w:p>
        </w:tc>
        <w:tc>
          <w:tcPr>
            <w:tcW w:w="7020" w:type="dxa"/>
            <w:vAlign w:val="bottom"/>
            <w:gridSpan w:val="5"/>
          </w:tcPr>
          <w:p>
            <w:pPr>
              <w:jc w:val="center"/>
              <w:ind w:left="2330"/>
              <w:spacing w:after="0"/>
              <w:rPr>
                <w:sz w:val="20"/>
                <w:szCs w:val="20"/>
                <w:color w:val="auto"/>
              </w:rPr>
            </w:pPr>
            <w:r>
              <w:rPr>
                <w:rFonts w:ascii="Arial" w:cs="Arial" w:eastAsia="Arial" w:hAnsi="Arial"/>
                <w:sz w:val="18"/>
                <w:szCs w:val="18"/>
                <w:color w:val="auto"/>
                <w:w w:val="91"/>
              </w:rPr>
              <w:t>Chief Financial Officer and Member of the Management Board</w:t>
            </w:r>
          </w:p>
        </w:tc>
      </w:tr>
    </w:tbl>
    <w:p>
      <w:pPr>
        <w:spacing w:after="0" w:line="1" w:lineRule="exact"/>
        <w:rPr>
          <w:sz w:val="20"/>
          <w:szCs w:val="20"/>
          <w:color w:val="auto"/>
        </w:rPr>
      </w:pPr>
    </w:p>
    <w:sectPr>
      <w:pgSz w:w="11900" w:h="16838" w:orient="portrait"/>
      <w:cols w:equalWidth="0" w:num="1">
        <w:col w:w="11140"/>
      </w:cols>
      <w:pgMar w:left="320" w:top="328"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2023-05-15T08:28:06Z</dcterms:created>
  <dcterms:modified xsi:type="dcterms:W3CDTF">2023-05-15T08:28:06Z</dcterms:modified>
</cp:coreProperties>
</file>