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filed with the U.S. Securities and Exchange Commission on October 7, 2022.</w:t>
      </w:r>
    </w:p>
    <w:p>
      <w:pPr>
        <w:spacing w:after="0" w:line="10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Registration No. 333-265568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3655"/>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-173355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231F20"/>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POST-EFFECTIVE AMENDMENT NO. 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FORM F-1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231F20"/>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i w:val="1"/>
          <w:iCs w:val="1"/>
          <w:color w:val="231F20"/>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i w:val="1"/>
          <w:iCs w:val="1"/>
          <w:color w:val="231F20"/>
        </w:rPr>
        <w:t>THE SECURITIES ACT OF 1933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SONO GROUP N.V.</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231F20"/>
        </w:rPr>
        <w:t>(Exact Name of Registrant as Specified in Its Charter)</w:t>
      </w:r>
    </w:p>
    <w:p>
      <w:pPr>
        <w:spacing w:after="0" w:line="64"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540" w:type="dxa"/>
            <w:vAlign w:val="bottom"/>
          </w:tcPr>
          <w:p>
            <w:pPr>
              <w:jc w:val="center"/>
              <w:ind w:right="789"/>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3460" w:type="dxa"/>
            <w:vAlign w:val="bottom"/>
          </w:tcPr>
          <w:p>
            <w:pPr>
              <w:jc w:val="right"/>
              <w:ind w:right="1569"/>
              <w:spacing w:after="0"/>
              <w:rPr>
                <w:sz w:val="20"/>
                <w:szCs w:val="20"/>
                <w:color w:val="auto"/>
              </w:rPr>
            </w:pPr>
            <w:r>
              <w:rPr>
                <w:rFonts w:ascii="Times New Roman" w:cs="Times New Roman" w:eastAsia="Times New Roman" w:hAnsi="Times New Roman"/>
                <w:sz w:val="14"/>
                <w:szCs w:val="14"/>
                <w:b w:val="1"/>
                <w:bCs w:val="1"/>
                <w:color w:val="auto"/>
              </w:rPr>
              <w:t>3711</w:t>
            </w:r>
          </w:p>
        </w:tc>
        <w:tc>
          <w:tcPr>
            <w:tcW w:w="2260" w:type="dxa"/>
            <w:vAlign w:val="bottom"/>
          </w:tcPr>
          <w:p>
            <w:pPr>
              <w:jc w:val="center"/>
              <w:ind w:left="869"/>
              <w:spacing w:after="0"/>
              <w:rPr>
                <w:sz w:val="20"/>
                <w:szCs w:val="20"/>
                <w:color w:val="auto"/>
              </w:rPr>
            </w:pPr>
            <w:r>
              <w:rPr>
                <w:rFonts w:ascii="Times New Roman" w:cs="Times New Roman" w:eastAsia="Times New Roman" w:hAnsi="Times New Roman"/>
                <w:sz w:val="14"/>
                <w:szCs w:val="14"/>
                <w:b w:val="1"/>
                <w:bCs w:val="1"/>
                <w:color w:val="auto"/>
                <w:w w:val="99"/>
              </w:rPr>
              <w:t>N/A</w:t>
            </w:r>
          </w:p>
        </w:tc>
      </w:tr>
      <w:tr>
        <w:trPr>
          <w:trHeight w:val="146"/>
        </w:trPr>
        <w:tc>
          <w:tcPr>
            <w:tcW w:w="2540" w:type="dxa"/>
            <w:vAlign w:val="bottom"/>
          </w:tcPr>
          <w:p>
            <w:pPr>
              <w:jc w:val="center"/>
              <w:ind w:right="789"/>
              <w:spacing w:after="0" w:line="146" w:lineRule="exact"/>
              <w:rPr>
                <w:sz w:val="20"/>
                <w:szCs w:val="20"/>
                <w:color w:val="auto"/>
              </w:rPr>
            </w:pPr>
            <w:r>
              <w:rPr>
                <w:rFonts w:ascii="Times New Roman" w:cs="Times New Roman" w:eastAsia="Times New Roman" w:hAnsi="Times New Roman"/>
                <w:sz w:val="14"/>
                <w:szCs w:val="14"/>
                <w:color w:val="231F20"/>
              </w:rPr>
              <w:t>(State or other jurisdiction of</w:t>
            </w:r>
          </w:p>
        </w:tc>
        <w:tc>
          <w:tcPr>
            <w:tcW w:w="3460" w:type="dxa"/>
            <w:vAlign w:val="bottom"/>
          </w:tcPr>
          <w:p>
            <w:pPr>
              <w:jc w:val="center"/>
              <w:ind w:right="9"/>
              <w:spacing w:after="0" w:line="146" w:lineRule="exact"/>
              <w:rPr>
                <w:sz w:val="20"/>
                <w:szCs w:val="20"/>
                <w:color w:val="auto"/>
              </w:rPr>
            </w:pPr>
            <w:r>
              <w:rPr>
                <w:rFonts w:ascii="Times New Roman" w:cs="Times New Roman" w:eastAsia="Times New Roman" w:hAnsi="Times New Roman"/>
                <w:sz w:val="14"/>
                <w:szCs w:val="14"/>
                <w:color w:val="231F20"/>
              </w:rPr>
              <w:t>(Primary Standard Industrial</w:t>
            </w:r>
          </w:p>
        </w:tc>
        <w:tc>
          <w:tcPr>
            <w:tcW w:w="2260" w:type="dxa"/>
            <w:vAlign w:val="bottom"/>
          </w:tcPr>
          <w:p>
            <w:pPr>
              <w:jc w:val="center"/>
              <w:ind w:left="889"/>
              <w:spacing w:after="0" w:line="146" w:lineRule="exact"/>
              <w:rPr>
                <w:sz w:val="20"/>
                <w:szCs w:val="20"/>
                <w:color w:val="auto"/>
              </w:rPr>
            </w:pPr>
            <w:r>
              <w:rPr>
                <w:rFonts w:ascii="Times New Roman" w:cs="Times New Roman" w:eastAsia="Times New Roman" w:hAnsi="Times New Roman"/>
                <w:sz w:val="14"/>
                <w:szCs w:val="14"/>
                <w:color w:val="231F20"/>
              </w:rPr>
              <w:t>(IRS Employer</w:t>
            </w:r>
          </w:p>
        </w:tc>
      </w:tr>
      <w:tr>
        <w:trPr>
          <w:trHeight w:val="184"/>
        </w:trPr>
        <w:tc>
          <w:tcPr>
            <w:tcW w:w="2540" w:type="dxa"/>
            <w:vAlign w:val="bottom"/>
          </w:tcPr>
          <w:p>
            <w:pPr>
              <w:jc w:val="center"/>
              <w:ind w:right="769"/>
              <w:spacing w:after="0"/>
              <w:rPr>
                <w:sz w:val="20"/>
                <w:szCs w:val="20"/>
                <w:color w:val="auto"/>
              </w:rPr>
            </w:pPr>
            <w:r>
              <w:rPr>
                <w:rFonts w:ascii="Times New Roman" w:cs="Times New Roman" w:eastAsia="Times New Roman" w:hAnsi="Times New Roman"/>
                <w:sz w:val="14"/>
                <w:szCs w:val="14"/>
                <w:color w:val="231F20"/>
              </w:rPr>
              <w:t>incorporation or organization)</w:t>
            </w:r>
          </w:p>
        </w:tc>
        <w:tc>
          <w:tcPr>
            <w:tcW w:w="34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231F20"/>
              </w:rPr>
              <w:t>Classification Code Number)</w:t>
            </w:r>
          </w:p>
        </w:tc>
        <w:tc>
          <w:tcPr>
            <w:tcW w:w="226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231F20"/>
              </w:rPr>
              <w:t>Identification Number)</w:t>
            </w:r>
          </w:p>
        </w:tc>
      </w:tr>
      <w:tr>
        <w:trPr>
          <w:trHeight w:val="252"/>
        </w:trPr>
        <w:tc>
          <w:tcPr>
            <w:tcW w:w="2540" w:type="dxa"/>
            <w:vAlign w:val="bottom"/>
          </w:tcPr>
          <w:p>
            <w:pPr>
              <w:spacing w:after="0"/>
              <w:rPr>
                <w:sz w:val="21"/>
                <w:szCs w:val="21"/>
                <w:color w:val="auto"/>
              </w:rPr>
            </w:pPr>
          </w:p>
        </w:tc>
        <w:tc>
          <w:tcPr>
            <w:tcW w:w="34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231F20"/>
              </w:rPr>
              <w:t>Waldmeisterstraße 76</w:t>
            </w:r>
          </w:p>
        </w:tc>
        <w:tc>
          <w:tcPr>
            <w:tcW w:w="2260" w:type="dxa"/>
            <w:vAlign w:val="bottom"/>
          </w:tcPr>
          <w:p>
            <w:pPr>
              <w:spacing w:after="0"/>
              <w:rPr>
                <w:sz w:val="21"/>
                <w:szCs w:val="21"/>
                <w:color w:val="auto"/>
              </w:rPr>
            </w:pPr>
          </w:p>
        </w:tc>
      </w:tr>
      <w:tr>
        <w:trPr>
          <w:trHeight w:val="159"/>
        </w:trPr>
        <w:tc>
          <w:tcPr>
            <w:tcW w:w="2540" w:type="dxa"/>
            <w:vAlign w:val="bottom"/>
          </w:tcPr>
          <w:p>
            <w:pPr>
              <w:spacing w:after="0"/>
              <w:rPr>
                <w:sz w:val="13"/>
                <w:szCs w:val="13"/>
                <w:color w:val="auto"/>
              </w:rPr>
            </w:pPr>
          </w:p>
        </w:tc>
        <w:tc>
          <w:tcPr>
            <w:tcW w:w="3460" w:type="dxa"/>
            <w:vAlign w:val="bottom"/>
          </w:tcPr>
          <w:p>
            <w:pPr>
              <w:jc w:val="center"/>
              <w:ind w:right="9"/>
              <w:spacing w:after="0" w:line="159" w:lineRule="exact"/>
              <w:rPr>
                <w:sz w:val="20"/>
                <w:szCs w:val="20"/>
                <w:color w:val="auto"/>
              </w:rPr>
            </w:pPr>
            <w:r>
              <w:rPr>
                <w:rFonts w:ascii="Times New Roman" w:cs="Times New Roman" w:eastAsia="Times New Roman" w:hAnsi="Times New Roman"/>
                <w:sz w:val="14"/>
                <w:szCs w:val="14"/>
                <w:b w:val="1"/>
                <w:bCs w:val="1"/>
                <w:color w:val="231F20"/>
              </w:rPr>
              <w:t>80935 Munich, Germany</w:t>
            </w:r>
          </w:p>
        </w:tc>
        <w:tc>
          <w:tcPr>
            <w:tcW w:w="2260" w:type="dxa"/>
            <w:vAlign w:val="bottom"/>
          </w:tcPr>
          <w:p>
            <w:pPr>
              <w:spacing w:after="0"/>
              <w:rPr>
                <w:sz w:val="13"/>
                <w:szCs w:val="13"/>
                <w:color w:val="auto"/>
              </w:rPr>
            </w:pPr>
          </w:p>
        </w:tc>
      </w:tr>
      <w:tr>
        <w:trPr>
          <w:trHeight w:val="186"/>
        </w:trPr>
        <w:tc>
          <w:tcPr>
            <w:tcW w:w="2540" w:type="dxa"/>
            <w:vAlign w:val="bottom"/>
          </w:tcPr>
          <w:p>
            <w:pPr>
              <w:spacing w:after="0"/>
              <w:rPr>
                <w:sz w:val="16"/>
                <w:szCs w:val="16"/>
                <w:color w:val="auto"/>
              </w:rPr>
            </w:pPr>
          </w:p>
        </w:tc>
        <w:tc>
          <w:tcPr>
            <w:tcW w:w="3460" w:type="dxa"/>
            <w:vAlign w:val="bottom"/>
          </w:tcPr>
          <w:p>
            <w:pPr>
              <w:jc w:val="right"/>
              <w:ind w:right="1109"/>
              <w:spacing w:after="0"/>
              <w:rPr>
                <w:sz w:val="20"/>
                <w:szCs w:val="20"/>
                <w:color w:val="auto"/>
              </w:rPr>
            </w:pPr>
            <w:r>
              <w:rPr>
                <w:rFonts w:ascii="Times New Roman" w:cs="Times New Roman" w:eastAsia="Times New Roman" w:hAnsi="Times New Roman"/>
                <w:sz w:val="14"/>
                <w:szCs w:val="14"/>
                <w:b w:val="1"/>
                <w:bCs w:val="1"/>
                <w:color w:val="231F20"/>
              </w:rPr>
              <w:t>+49 (0)89 4520 5818</w:t>
            </w:r>
          </w:p>
        </w:tc>
        <w:tc>
          <w:tcPr>
            <w:tcW w:w="2260" w:type="dxa"/>
            <w:vAlign w:val="bottom"/>
          </w:tcPr>
          <w:p>
            <w:pPr>
              <w:spacing w:after="0"/>
              <w:rPr>
                <w:sz w:val="16"/>
                <w:szCs w:val="16"/>
                <w:color w:val="auto"/>
              </w:rPr>
            </w:pPr>
          </w:p>
        </w:tc>
      </w:tr>
    </w:tbl>
    <w:p>
      <w:pPr>
        <w:ind w:left="1500"/>
        <w:spacing w:after="0"/>
        <w:rPr>
          <w:sz w:val="20"/>
          <w:szCs w:val="20"/>
          <w:color w:val="auto"/>
        </w:rPr>
      </w:pPr>
      <w:r>
        <w:rPr>
          <w:rFonts w:ascii="Times New Roman" w:cs="Times New Roman" w:eastAsia="Times New Roman" w:hAnsi="Times New Roman"/>
          <w:sz w:val="14"/>
          <w:szCs w:val="14"/>
          <w:b w:val="1"/>
          <w:bCs w:val="1"/>
          <w:color w:val="231F20"/>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31115</wp:posOffset>
            </wp:positionV>
            <wp:extent cx="15754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5435" cy="17145"/>
                    </a:xfrm>
                    <a:prstGeom prst="rect">
                      <a:avLst/>
                    </a:prstGeom>
                    <a:noFill/>
                  </pic:spPr>
                </pic:pic>
              </a:graphicData>
            </a:graphic>
          </wp:anchor>
        </w:drawing>
      </w:r>
    </w:p>
    <w:p>
      <w:pPr>
        <w:spacing w:after="0" w:line="5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231F20"/>
        </w:rPr>
        <w:t>Puglisi &amp; Associates</w:t>
      </w:r>
    </w:p>
    <w:p>
      <w:pPr>
        <w:spacing w:after="0" w:line="1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231F20"/>
        </w:rPr>
        <w:t>850 Library Avenue, Suite 204</w:t>
      </w:r>
    </w:p>
    <w:p>
      <w:pPr>
        <w:ind w:left="4220"/>
        <w:spacing w:after="0" w:line="217" w:lineRule="auto"/>
        <w:rPr>
          <w:sz w:val="20"/>
          <w:szCs w:val="20"/>
          <w:color w:val="auto"/>
        </w:rPr>
      </w:pPr>
      <w:r>
        <w:rPr>
          <w:rFonts w:ascii="Times New Roman" w:cs="Times New Roman" w:eastAsia="Times New Roman" w:hAnsi="Times New Roman"/>
          <w:sz w:val="14"/>
          <w:szCs w:val="14"/>
          <w:b w:val="1"/>
          <w:bCs w:val="1"/>
          <w:color w:val="231F20"/>
        </w:rPr>
        <w:t>Newark, Delaware 19711</w:t>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231F20"/>
        </w:rPr>
        <w:t>+1 (302) 738 6680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62230</wp:posOffset>
            </wp:positionV>
            <wp:extent cx="1575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231F20"/>
        </w:rPr>
        <w:t>Copies of all communications, including communications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231F20"/>
        </w:rPr>
        <w:t>sent to agent for service, should be sent to:</w:t>
      </w:r>
    </w:p>
    <w:p>
      <w:pPr>
        <w:spacing w:after="0" w:line="5"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2960" w:type="dxa"/>
            <w:vAlign w:val="bottom"/>
          </w:tcPr>
          <w:p>
            <w:pPr>
              <w:jc w:val="center"/>
              <w:ind w:right="1229"/>
              <w:spacing w:after="0"/>
              <w:rPr>
                <w:sz w:val="20"/>
                <w:szCs w:val="20"/>
                <w:color w:val="auto"/>
              </w:rPr>
            </w:pPr>
            <w:r>
              <w:rPr>
                <w:rFonts w:ascii="Times New Roman" w:cs="Times New Roman" w:eastAsia="Times New Roman" w:hAnsi="Times New Roman"/>
                <w:sz w:val="14"/>
                <w:szCs w:val="14"/>
                <w:b w:val="1"/>
                <w:bCs w:val="1"/>
                <w:color w:val="auto"/>
              </w:rPr>
              <w:t>Krystian M. Czerniecki</w:t>
            </w:r>
          </w:p>
        </w:tc>
        <w:tc>
          <w:tcPr>
            <w:tcW w:w="258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rPr>
              <w:t>Paul van der Bijl</w:t>
            </w:r>
          </w:p>
        </w:tc>
      </w:tr>
      <w:tr>
        <w:trPr>
          <w:trHeight w:val="146"/>
        </w:trPr>
        <w:tc>
          <w:tcPr>
            <w:tcW w:w="2960" w:type="dxa"/>
            <w:vAlign w:val="bottom"/>
          </w:tcPr>
          <w:p>
            <w:pPr>
              <w:jc w:val="center"/>
              <w:ind w:right="1229"/>
              <w:spacing w:after="0" w:line="146" w:lineRule="exact"/>
              <w:rPr>
                <w:sz w:val="20"/>
                <w:szCs w:val="20"/>
                <w:color w:val="auto"/>
              </w:rPr>
            </w:pPr>
            <w:r>
              <w:rPr>
                <w:rFonts w:ascii="Times New Roman" w:cs="Times New Roman" w:eastAsia="Times New Roman" w:hAnsi="Times New Roman"/>
                <w:sz w:val="14"/>
                <w:szCs w:val="14"/>
                <w:b w:val="1"/>
                <w:bCs w:val="1"/>
                <w:color w:val="auto"/>
              </w:rPr>
              <w:t>Clemens Rechberger</w:t>
            </w:r>
          </w:p>
        </w:tc>
        <w:tc>
          <w:tcPr>
            <w:tcW w:w="2580" w:type="dxa"/>
            <w:vAlign w:val="bottom"/>
          </w:tcPr>
          <w:p>
            <w:pPr>
              <w:jc w:val="center"/>
              <w:ind w:left="1249"/>
              <w:spacing w:after="0" w:line="146" w:lineRule="exact"/>
              <w:rPr>
                <w:sz w:val="20"/>
                <w:szCs w:val="20"/>
                <w:color w:val="auto"/>
              </w:rPr>
            </w:pPr>
            <w:r>
              <w:rPr>
                <w:rFonts w:ascii="Times New Roman" w:cs="Times New Roman" w:eastAsia="Times New Roman" w:hAnsi="Times New Roman"/>
                <w:sz w:val="14"/>
                <w:szCs w:val="14"/>
                <w:b w:val="1"/>
                <w:bCs w:val="1"/>
                <w:color w:val="auto"/>
              </w:rPr>
              <w:t>NautaDutilh N.V.</w:t>
            </w:r>
          </w:p>
        </w:tc>
      </w:tr>
      <w:tr>
        <w:trPr>
          <w:trHeight w:val="146"/>
        </w:trPr>
        <w:tc>
          <w:tcPr>
            <w:tcW w:w="2960" w:type="dxa"/>
            <w:vAlign w:val="bottom"/>
          </w:tcPr>
          <w:p>
            <w:pPr>
              <w:jc w:val="center"/>
              <w:ind w:right="1229"/>
              <w:spacing w:after="0" w:line="146" w:lineRule="exact"/>
              <w:rPr>
                <w:sz w:val="20"/>
                <w:szCs w:val="20"/>
                <w:color w:val="auto"/>
              </w:rPr>
            </w:pPr>
            <w:r>
              <w:rPr>
                <w:rFonts w:ascii="Times New Roman" w:cs="Times New Roman" w:eastAsia="Times New Roman" w:hAnsi="Times New Roman"/>
                <w:sz w:val="14"/>
                <w:szCs w:val="14"/>
                <w:b w:val="1"/>
                <w:bCs w:val="1"/>
                <w:color w:val="auto"/>
              </w:rPr>
              <w:t>Sullivan &amp; Cromwell LLP</w:t>
            </w:r>
          </w:p>
        </w:tc>
        <w:tc>
          <w:tcPr>
            <w:tcW w:w="2580" w:type="dxa"/>
            <w:vAlign w:val="bottom"/>
          </w:tcPr>
          <w:p>
            <w:pPr>
              <w:jc w:val="center"/>
              <w:ind w:left="1249"/>
              <w:spacing w:after="0" w:line="146" w:lineRule="exact"/>
              <w:rPr>
                <w:sz w:val="20"/>
                <w:szCs w:val="20"/>
                <w:color w:val="auto"/>
              </w:rPr>
            </w:pPr>
            <w:r>
              <w:rPr>
                <w:rFonts w:ascii="Times New Roman" w:cs="Times New Roman" w:eastAsia="Times New Roman" w:hAnsi="Times New Roman"/>
                <w:sz w:val="14"/>
                <w:szCs w:val="14"/>
                <w:b w:val="1"/>
                <w:bCs w:val="1"/>
                <w:color w:val="auto"/>
              </w:rPr>
              <w:t>Beethovenstraat 400</w:t>
            </w:r>
          </w:p>
        </w:tc>
      </w:tr>
      <w:tr>
        <w:trPr>
          <w:trHeight w:val="146"/>
        </w:trPr>
        <w:tc>
          <w:tcPr>
            <w:tcW w:w="2960" w:type="dxa"/>
            <w:vAlign w:val="bottom"/>
          </w:tcPr>
          <w:p>
            <w:pPr>
              <w:jc w:val="center"/>
              <w:ind w:right="1229"/>
              <w:spacing w:after="0" w:line="146" w:lineRule="exact"/>
              <w:rPr>
                <w:sz w:val="20"/>
                <w:szCs w:val="20"/>
                <w:color w:val="auto"/>
              </w:rPr>
            </w:pPr>
            <w:r>
              <w:rPr>
                <w:rFonts w:ascii="Times New Roman" w:cs="Times New Roman" w:eastAsia="Times New Roman" w:hAnsi="Times New Roman"/>
                <w:sz w:val="14"/>
                <w:szCs w:val="14"/>
                <w:b w:val="1"/>
                <w:bCs w:val="1"/>
                <w:color w:val="auto"/>
              </w:rPr>
              <w:t>Neue Mainzer Straße 52</w:t>
            </w:r>
          </w:p>
        </w:tc>
        <w:tc>
          <w:tcPr>
            <w:tcW w:w="2580" w:type="dxa"/>
            <w:vAlign w:val="bottom"/>
          </w:tcPr>
          <w:p>
            <w:pPr>
              <w:jc w:val="center"/>
              <w:ind w:left="1249"/>
              <w:spacing w:after="0" w:line="146" w:lineRule="exact"/>
              <w:rPr>
                <w:sz w:val="20"/>
                <w:szCs w:val="20"/>
                <w:color w:val="auto"/>
              </w:rPr>
            </w:pPr>
            <w:r>
              <w:rPr>
                <w:rFonts w:ascii="Times New Roman" w:cs="Times New Roman" w:eastAsia="Times New Roman" w:hAnsi="Times New Roman"/>
                <w:sz w:val="14"/>
                <w:szCs w:val="14"/>
                <w:b w:val="1"/>
                <w:bCs w:val="1"/>
                <w:color w:val="auto"/>
              </w:rPr>
              <w:t>1082 PR Amsterdam</w:t>
            </w:r>
          </w:p>
        </w:tc>
      </w:tr>
      <w:tr>
        <w:trPr>
          <w:trHeight w:val="146"/>
        </w:trPr>
        <w:tc>
          <w:tcPr>
            <w:tcW w:w="2960" w:type="dxa"/>
            <w:vAlign w:val="bottom"/>
          </w:tcPr>
          <w:p>
            <w:pPr>
              <w:jc w:val="center"/>
              <w:ind w:right="1249"/>
              <w:spacing w:after="0" w:line="146" w:lineRule="exact"/>
              <w:rPr>
                <w:sz w:val="20"/>
                <w:szCs w:val="20"/>
                <w:color w:val="auto"/>
              </w:rPr>
            </w:pPr>
            <w:r>
              <w:rPr>
                <w:rFonts w:ascii="Times New Roman" w:cs="Times New Roman" w:eastAsia="Times New Roman" w:hAnsi="Times New Roman"/>
                <w:sz w:val="14"/>
                <w:szCs w:val="14"/>
                <w:b w:val="1"/>
                <w:bCs w:val="1"/>
                <w:color w:val="auto"/>
              </w:rPr>
              <w:t>60311 Frankfurt, Germany</w:t>
            </w:r>
          </w:p>
        </w:tc>
        <w:tc>
          <w:tcPr>
            <w:tcW w:w="2580" w:type="dxa"/>
            <w:vAlign w:val="bottom"/>
          </w:tcPr>
          <w:p>
            <w:pPr>
              <w:jc w:val="center"/>
              <w:ind w:left="1249"/>
              <w:spacing w:after="0" w:line="146" w:lineRule="exact"/>
              <w:rPr>
                <w:sz w:val="20"/>
                <w:szCs w:val="20"/>
                <w:color w:val="auto"/>
              </w:rPr>
            </w:pPr>
            <w:r>
              <w:rPr>
                <w:rFonts w:ascii="Times New Roman" w:cs="Times New Roman" w:eastAsia="Times New Roman" w:hAnsi="Times New Roman"/>
                <w:sz w:val="14"/>
                <w:szCs w:val="14"/>
                <w:b w:val="1"/>
                <w:bCs w:val="1"/>
                <w:color w:val="auto"/>
              </w:rPr>
              <w:t>The Netherlands</w:t>
            </w:r>
          </w:p>
        </w:tc>
      </w:tr>
      <w:tr>
        <w:trPr>
          <w:trHeight w:val="186"/>
        </w:trPr>
        <w:tc>
          <w:tcPr>
            <w:tcW w:w="2960" w:type="dxa"/>
            <w:vAlign w:val="bottom"/>
          </w:tcPr>
          <w:p>
            <w:pPr>
              <w:jc w:val="center"/>
              <w:ind w:right="1229"/>
              <w:spacing w:after="0"/>
              <w:rPr>
                <w:sz w:val="20"/>
                <w:szCs w:val="20"/>
                <w:color w:val="auto"/>
              </w:rPr>
            </w:pPr>
            <w:r>
              <w:rPr>
                <w:rFonts w:ascii="Times New Roman" w:cs="Times New Roman" w:eastAsia="Times New Roman" w:hAnsi="Times New Roman"/>
                <w:sz w:val="14"/>
                <w:szCs w:val="14"/>
                <w:b w:val="1"/>
                <w:bCs w:val="1"/>
                <w:color w:val="auto"/>
              </w:rPr>
              <w:t>+49 (69) 4272 5200</w:t>
            </w:r>
          </w:p>
        </w:tc>
        <w:tc>
          <w:tcPr>
            <w:tcW w:w="258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w w:val="99"/>
              </w:rPr>
              <w:t>+31 (20) 717-1000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57785</wp:posOffset>
            </wp:positionV>
            <wp:extent cx="15754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5435" cy="17145"/>
                    </a:xfrm>
                    <a:prstGeom prst="rect">
                      <a:avLst/>
                    </a:prstGeom>
                    <a:noFill/>
                  </pic:spPr>
                </pic:pic>
              </a:graphicData>
            </a:graphic>
          </wp:anchor>
        </w:drawing>
      </w:r>
    </w:p>
    <w:p>
      <w:pPr>
        <w:spacing w:after="0" w:line="11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231F20"/>
        </w:rPr>
        <w:t>Approximate date of commencement of proposed sale to the public</w:t>
      </w:r>
      <w:r>
        <w:rPr>
          <w:rFonts w:ascii="Times New Roman" w:cs="Times New Roman" w:eastAsia="Times New Roman" w:hAnsi="Times New Roman"/>
          <w:sz w:val="14"/>
          <w:szCs w:val="14"/>
          <w:color w:val="231F20"/>
        </w:rPr>
        <w:t>: As soon as practicable after this registration statement becomes effective.</w:t>
      </w:r>
    </w:p>
    <w:p>
      <w:pPr>
        <w:spacing w:after="0" w:line="53" w:lineRule="exact"/>
        <w:rPr>
          <w:sz w:val="24"/>
          <w:szCs w:val="24"/>
          <w:color w:val="auto"/>
        </w:rPr>
      </w:pPr>
    </w:p>
    <w:p>
      <w:pPr>
        <w:ind w:right="280" w:firstLine="318"/>
        <w:spacing w:after="0" w:line="180" w:lineRule="exact"/>
        <w:rPr>
          <w:sz w:val="20"/>
          <w:szCs w:val="20"/>
          <w:color w:val="auto"/>
        </w:rPr>
      </w:pPr>
      <w:r>
        <w:rPr>
          <w:rFonts w:ascii="Times New Roman" w:cs="Times New Roman" w:eastAsia="Times New Roman" w:hAnsi="Times New Roman"/>
          <w:sz w:val="14"/>
          <w:szCs w:val="14"/>
          <w:color w:val="231F20"/>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4"/>
          <w:szCs w:val="14"/>
          <w:color w:val="231F20"/>
        </w:rPr>
        <w:t>☒</w:t>
      </w:r>
    </w:p>
    <w:p>
      <w:pPr>
        <w:spacing w:after="0" w:line="40" w:lineRule="exact"/>
        <w:rPr>
          <w:sz w:val="24"/>
          <w:szCs w:val="24"/>
          <w:color w:val="auto"/>
        </w:rPr>
      </w:pPr>
    </w:p>
    <w:p>
      <w:pPr>
        <w:ind w:firstLine="318"/>
        <w:spacing w:after="0" w:line="180" w:lineRule="exact"/>
        <w:rPr>
          <w:sz w:val="20"/>
          <w:szCs w:val="20"/>
          <w:color w:val="auto"/>
        </w:rPr>
      </w:pPr>
      <w:r>
        <w:rPr>
          <w:rFonts w:ascii="Times New Roman" w:cs="Times New Roman" w:eastAsia="Times New Roman" w:hAnsi="Times New Roman"/>
          <w:sz w:val="14"/>
          <w:szCs w:val="14"/>
          <w:color w:val="231F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231F20"/>
        </w:rPr>
        <w:t>☐</w:t>
      </w:r>
    </w:p>
    <w:p>
      <w:pPr>
        <w:spacing w:after="0" w:line="27" w:lineRule="exact"/>
        <w:rPr>
          <w:sz w:val="24"/>
          <w:szCs w:val="24"/>
          <w:color w:val="auto"/>
        </w:rPr>
      </w:pPr>
    </w:p>
    <w:p>
      <w:pPr>
        <w:ind w:right="520" w:firstLine="318"/>
        <w:spacing w:after="0" w:line="180" w:lineRule="exact"/>
        <w:rPr>
          <w:sz w:val="20"/>
          <w:szCs w:val="20"/>
          <w:color w:val="auto"/>
        </w:rPr>
      </w:pPr>
      <w:r>
        <w:rPr>
          <w:rFonts w:ascii="Times New Roman" w:cs="Times New Roman" w:eastAsia="Times New Roman" w:hAnsi="Times New Roman"/>
          <w:sz w:val="14"/>
          <w:szCs w:val="14"/>
          <w:color w:val="231F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231F20"/>
        </w:rPr>
        <w:t>☐</w:t>
      </w:r>
    </w:p>
    <w:p>
      <w:pPr>
        <w:spacing w:after="0" w:line="27" w:lineRule="exact"/>
        <w:rPr>
          <w:sz w:val="24"/>
          <w:szCs w:val="24"/>
          <w:color w:val="auto"/>
        </w:rPr>
      </w:pPr>
    </w:p>
    <w:p>
      <w:pPr>
        <w:ind w:right="500" w:firstLine="318"/>
        <w:spacing w:after="0" w:line="180" w:lineRule="exact"/>
        <w:rPr>
          <w:sz w:val="20"/>
          <w:szCs w:val="20"/>
          <w:color w:val="auto"/>
        </w:rPr>
      </w:pPr>
      <w:r>
        <w:rPr>
          <w:rFonts w:ascii="Times New Roman" w:cs="Times New Roman" w:eastAsia="Times New Roman" w:hAnsi="Times New Roman"/>
          <w:sz w:val="14"/>
          <w:szCs w:val="14"/>
          <w:color w:val="231F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231F20"/>
        </w:rPr>
        <w:t>☐</w:t>
      </w:r>
    </w:p>
    <w:p>
      <w:pPr>
        <w:spacing w:after="0" w:line="4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231F20"/>
        </w:rPr>
        <w:t>Indicate by check mark whether the registrant is an emerging growth company as defined in Rule 405 of the Securities Act of 1933.</w:t>
      </w:r>
    </w:p>
    <w:p>
      <w:pPr>
        <w:spacing w:after="0" w:line="49" w:lineRule="exact"/>
        <w:rPr>
          <w:sz w:val="24"/>
          <w:szCs w:val="24"/>
          <w:color w:val="auto"/>
        </w:rPr>
      </w:pPr>
    </w:p>
    <w:p>
      <w:pPr>
        <w:ind w:left="320"/>
        <w:spacing w:after="0" w:line="161" w:lineRule="exact"/>
        <w:rPr>
          <w:sz w:val="20"/>
          <w:szCs w:val="20"/>
          <w:color w:val="auto"/>
        </w:rPr>
      </w:pPr>
      <w:r>
        <w:rPr>
          <w:rFonts w:ascii="Times New Roman" w:cs="Times New Roman" w:eastAsia="Times New Roman" w:hAnsi="Times New Roman"/>
          <w:sz w:val="14"/>
          <w:szCs w:val="14"/>
          <w:color w:val="231F20"/>
        </w:rPr>
        <w:t xml:space="preserve">Emerging growth company. </w:t>
      </w:r>
      <w:r>
        <w:rPr>
          <w:rFonts w:ascii="MS PGothic" w:cs="MS PGothic" w:eastAsia="MS PGothic" w:hAnsi="MS PGothic"/>
          <w:sz w:val="14"/>
          <w:szCs w:val="14"/>
          <w:color w:val="231F20"/>
        </w:rPr>
        <w:t>☒</w:t>
      </w:r>
    </w:p>
    <w:p>
      <w:pPr>
        <w:spacing w:after="0" w:line="81" w:lineRule="exact"/>
        <w:rPr>
          <w:sz w:val="24"/>
          <w:szCs w:val="24"/>
          <w:color w:val="auto"/>
        </w:rPr>
      </w:pPr>
    </w:p>
    <w:p>
      <w:pPr>
        <w:ind w:right="160" w:firstLine="318"/>
        <w:spacing w:after="0" w:line="180" w:lineRule="exact"/>
        <w:rPr>
          <w:sz w:val="20"/>
          <w:szCs w:val="20"/>
          <w:color w:val="auto"/>
        </w:rPr>
      </w:pPr>
      <w:r>
        <w:rPr>
          <w:rFonts w:ascii="Times New Roman" w:cs="Times New Roman" w:eastAsia="Times New Roman" w:hAnsi="Times New Roman"/>
          <w:sz w:val="14"/>
          <w:szCs w:val="14"/>
          <w:color w:val="231F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231F20"/>
        </w:rPr>
        <w:t>☐</w:t>
      </w:r>
    </w:p>
    <w:p>
      <w:pPr>
        <w:spacing w:after="0" w:line="40" w:lineRule="exact"/>
        <w:rPr>
          <w:sz w:val="24"/>
          <w:szCs w:val="24"/>
          <w:color w:val="auto"/>
        </w:rPr>
      </w:pPr>
    </w:p>
    <w:p>
      <w:pPr>
        <w:ind w:left="320" w:right="620" w:hanging="313"/>
        <w:spacing w:after="0" w:line="251" w:lineRule="auto"/>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term “new or revised financial accounting standard” refers to any update issued by the Financial Accounting Standards Board to its Accounting Standards Codification after April 5, 2012.</w:t>
      </w:r>
    </w:p>
    <w:p>
      <w:pPr>
        <w:spacing w:after="0" w:line="19" w:lineRule="exact"/>
        <w:rPr>
          <w:sz w:val="24"/>
          <w:szCs w:val="24"/>
          <w:color w:val="auto"/>
        </w:rPr>
      </w:pPr>
    </w:p>
    <w:p>
      <w:pPr>
        <w:ind w:right="40" w:firstLine="318"/>
        <w:spacing w:after="0" w:line="232" w:lineRule="auto"/>
        <w:rPr>
          <w:sz w:val="20"/>
          <w:szCs w:val="20"/>
          <w:color w:val="auto"/>
        </w:rPr>
      </w:pPr>
      <w:r>
        <w:rPr>
          <w:rFonts w:ascii="Times New Roman" w:cs="Times New Roman" w:eastAsia="Times New Roman" w:hAnsi="Times New Roman"/>
          <w:sz w:val="14"/>
          <w:szCs w:val="14"/>
          <w:b w:val="1"/>
          <w:bCs w:val="1"/>
          <w:color w:val="231F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429260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58420</wp:posOffset>
            </wp:positionV>
            <wp:extent cx="629221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365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0"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The Registrant is filing this post-effective amendment No. 1 to the registration statement on Form F-1 to include the Registrant’s semi-annual condensed consolidated financial statements at June 30, 2022 and for the six months ended June 30, 2022 and 2021 and to update certain other information contained in the registration statement on Form F-1.</w:t>
      </w:r>
    </w:p>
    <w:p>
      <w:pPr>
        <w:spacing w:after="0" w:line="17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No additional securities are being registered by this post-effective amendment. All applicable registration fees were paid at the time of the original filing of the registration statement on Form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587375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06" w:right="10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920"/>
          </w:cols>
          <w:pgMar w:left="980" w:top="506" w:right="999" w:bottom="1440" w:gutter="0" w:footer="0" w:header="0"/>
        </w:sect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47"/>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ExchangeCommissionis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permitted.</w:t>
            </w:r>
          </w:p>
        </w:tc>
      </w:tr>
      <w:tr>
        <w:trPr>
          <w:trHeight w:val="1119"/>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theSecuritiesand</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offerorsaleisnot</w:t>
            </w:r>
          </w:p>
        </w:tc>
      </w:tr>
      <w:tr>
        <w:trPr>
          <w:trHeight w:val="625"/>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filedwith</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wherethe</w:t>
            </w:r>
          </w:p>
        </w:tc>
      </w:tr>
      <w:tr>
        <w:trPr>
          <w:trHeight w:val="610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isnotcompleteandmaybechanged.Wemaynotsellthesesecuritiesuntiltheregistrationstatement</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offertosellthesesecuritiesandwearenotsolicitingofferstobuythesesecuritiesinanyjurisdication</w:t>
            </w:r>
          </w:p>
        </w:tc>
      </w:tr>
      <w:tr>
        <w:trPr>
          <w:trHeight w:val="2124"/>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Theinformationinthisprospectus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effective.Thisprospectusisnotan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rPr>
        <w:t>PRELIMINARY PROSPECTUS (Subject to Completion)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rPr>
        <w:t>Dated 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54610</wp:posOffset>
            </wp:positionV>
            <wp:extent cx="2181860" cy="412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81860" cy="41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Sono Group N.V.</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14,138,867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112395</wp:posOffset>
            </wp:positionV>
            <wp:extent cx="15754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5435" cy="17145"/>
                    </a:xfrm>
                    <a:prstGeom prst="rect">
                      <a:avLst/>
                    </a:prstGeom>
                    <a:noFill/>
                  </pic:spPr>
                </pic:pic>
              </a:graphicData>
            </a:graphic>
          </wp:anchor>
        </w:drawing>
      </w:r>
    </w:p>
    <w:p>
      <w:pPr>
        <w:spacing w:after="0" w:line="302" w:lineRule="exact"/>
        <w:rPr>
          <w:sz w:val="20"/>
          <w:szCs w:val="20"/>
          <w:color w:val="auto"/>
        </w:rPr>
      </w:pPr>
    </w:p>
    <w:p>
      <w:pPr>
        <w:jc w:val="both"/>
        <w:ind w:right="60" w:firstLine="318"/>
        <w:spacing w:after="0" w:line="267" w:lineRule="auto"/>
        <w:rPr>
          <w:sz w:val="20"/>
          <w:szCs w:val="20"/>
          <w:color w:val="auto"/>
        </w:rPr>
      </w:pPr>
      <w:r>
        <w:rPr>
          <w:rFonts w:ascii="Times New Roman" w:cs="Times New Roman" w:eastAsia="Times New Roman" w:hAnsi="Times New Roman"/>
          <w:sz w:val="16"/>
          <w:szCs w:val="16"/>
          <w:color w:val="auto"/>
        </w:rPr>
        <w:t>This prospectus relates to the offer and resale of up to 14,138,867 ordinary shares, par value €0.06, of Sono Group N.V. by Joh. Berenberg, Gossler &amp; Co. KG (the “Selling Shareholder”). The shares included in this prospectus consist of ordinary shares that we may, in our discretion, elect to issue and sell to the Selling Shareholder pursuant to an ordinary shares purchase agreement we entered into with the Selling Shareholder on June 13, 2022 (the “Purchase Agreement”). See “</w:t>
      </w:r>
      <w:r>
        <w:rPr>
          <w:rFonts w:ascii="Times New Roman" w:cs="Times New Roman" w:eastAsia="Times New Roman" w:hAnsi="Times New Roman"/>
          <w:sz w:val="16"/>
          <w:szCs w:val="16"/>
          <w:i w:val="1"/>
          <w:iCs w:val="1"/>
          <w:color w:val="auto"/>
        </w:rPr>
        <w:t>The Committed Equity Financing</w:t>
      </w:r>
      <w:r>
        <w:rPr>
          <w:rFonts w:ascii="Times New Roman" w:cs="Times New Roman" w:eastAsia="Times New Roman" w:hAnsi="Times New Roman"/>
          <w:sz w:val="16"/>
          <w:szCs w:val="16"/>
          <w:color w:val="auto"/>
        </w:rPr>
        <w:t>” for a description of the Purchase Agreement and “</w:t>
      </w:r>
      <w:r>
        <w:rPr>
          <w:rFonts w:ascii="Times New Roman" w:cs="Times New Roman" w:eastAsia="Times New Roman" w:hAnsi="Times New Roman"/>
          <w:sz w:val="16"/>
          <w:szCs w:val="16"/>
          <w:i w:val="1"/>
          <w:iCs w:val="1"/>
          <w:color w:val="auto"/>
        </w:rPr>
        <w:t>Selling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Shareholder</w:t>
      </w:r>
      <w:r>
        <w:rPr>
          <w:rFonts w:ascii="Times New Roman" w:cs="Times New Roman" w:eastAsia="Times New Roman" w:hAnsi="Times New Roman"/>
          <w:sz w:val="16"/>
          <w:szCs w:val="16"/>
          <w:color w:val="auto"/>
        </w:rPr>
        <w:t>” for additional information regarding the Selling Shareholder.</w:t>
      </w:r>
    </w:p>
    <w:p>
      <w:pPr>
        <w:spacing w:after="0" w:line="144"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6"/>
          <w:szCs w:val="16"/>
          <w:color w:val="auto"/>
        </w:rPr>
        <w:t>We are not selling any ordinary shares being offered by this prospectus and will not receive any of the proceeds from the sale of ordinary shares by the Selling Shareholder. However, we may receive up to $150,000,000 in aggregate gross proceeds from sales of our ordinary shares to the Selling Shareholder that we may, in our discretion, elect to make, from time to time after the date of this prospectus, pursuant to the Purchase Agreement. The number of ordinary shares offered by this prospectus may not cover all the shares we ultimately sell to the Selling Shareholder under the Purchase Agreement, depending on the purchase price per share.</w:t>
      </w:r>
    </w:p>
    <w:p>
      <w:pPr>
        <w:spacing w:after="0" w:line="144" w:lineRule="exact"/>
        <w:rPr>
          <w:sz w:val="20"/>
          <w:szCs w:val="20"/>
          <w:color w:val="auto"/>
        </w:rPr>
      </w:pPr>
    </w:p>
    <w:p>
      <w:pPr>
        <w:ind w:right="20" w:firstLine="318"/>
        <w:spacing w:after="0" w:line="293" w:lineRule="auto"/>
        <w:rPr>
          <w:sz w:val="20"/>
          <w:szCs w:val="20"/>
          <w:color w:val="auto"/>
        </w:rPr>
      </w:pPr>
      <w:r>
        <w:rPr>
          <w:rFonts w:ascii="Times New Roman" w:cs="Times New Roman" w:eastAsia="Times New Roman" w:hAnsi="Times New Roman"/>
          <w:sz w:val="15"/>
          <w:szCs w:val="15"/>
          <w:color w:val="auto"/>
        </w:rPr>
        <w:t>The Selling Shareholder may sell or otherwise dispose of all or a portion of the ordinary shares being offered in this prospectus in a number of different ways and at varying prices. See “</w:t>
      </w:r>
      <w:r>
        <w:rPr>
          <w:rFonts w:ascii="Times New Roman" w:cs="Times New Roman" w:eastAsia="Times New Roman" w:hAnsi="Times New Roman"/>
          <w:sz w:val="15"/>
          <w:szCs w:val="15"/>
          <w:i w:val="1"/>
          <w:iCs w:val="1"/>
          <w:color w:val="auto"/>
        </w:rPr>
        <w:t>Plan of Distribution (Conflicts of Interest)</w:t>
      </w:r>
      <w:r>
        <w:rPr>
          <w:rFonts w:ascii="Times New Roman" w:cs="Times New Roman" w:eastAsia="Times New Roman" w:hAnsi="Times New Roman"/>
          <w:sz w:val="15"/>
          <w:szCs w:val="15"/>
          <w:color w:val="auto"/>
        </w:rPr>
        <w:t>” for more information about how the Selling Shareholder may sell or otherwise dispose of the ordinary shares being offered in this prospectus and information regarding reimbursement of expenses. The Selling Shareholder is an “underwriter” within the meaning of Section 2(a)(11) of the Securities Act of 1933, as amended (the “Securities Act”).</w:t>
      </w:r>
    </w:p>
    <w:p>
      <w:pPr>
        <w:spacing w:after="0" w:line="139" w:lineRule="exact"/>
        <w:rPr>
          <w:sz w:val="20"/>
          <w:szCs w:val="20"/>
          <w:color w:val="auto"/>
        </w:rPr>
      </w:pPr>
    </w:p>
    <w:p>
      <w:pPr>
        <w:ind w:right="300" w:firstLine="318"/>
        <w:spacing w:after="0" w:line="290" w:lineRule="auto"/>
        <w:rPr>
          <w:sz w:val="20"/>
          <w:szCs w:val="20"/>
          <w:color w:val="auto"/>
        </w:rPr>
      </w:pPr>
      <w:r>
        <w:rPr>
          <w:rFonts w:ascii="Times New Roman" w:cs="Times New Roman" w:eastAsia="Times New Roman" w:hAnsi="Times New Roman"/>
          <w:sz w:val="16"/>
          <w:szCs w:val="16"/>
          <w:color w:val="auto"/>
        </w:rPr>
        <w:t>We will bear all costs, expenses and fees in connection with the registration of the ordinary shares. The Selling Shareholder will bear all commissions and discounts, if any attributable to the sales of its ordinary shares.</w:t>
      </w:r>
    </w:p>
    <w:p>
      <w:pPr>
        <w:spacing w:after="0" w:line="12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Our ordinary shares are listed on The Nasdaq Global Market (“Nasdaq”) under the symbol “SEV.” On October 6, 2022, the closing price per ordinary share was $2.50.</w:t>
      </w:r>
    </w:p>
    <w:p>
      <w:pPr>
        <w:spacing w:after="0" w:line="122" w:lineRule="exact"/>
        <w:rPr>
          <w:sz w:val="20"/>
          <w:szCs w:val="20"/>
          <w:color w:val="auto"/>
        </w:rPr>
      </w:pPr>
    </w:p>
    <w:p>
      <w:pPr>
        <w:ind w:right="680" w:firstLine="318"/>
        <w:spacing w:after="0" w:line="295" w:lineRule="auto"/>
        <w:rPr>
          <w:sz w:val="20"/>
          <w:szCs w:val="20"/>
          <w:color w:val="auto"/>
        </w:rPr>
      </w:pPr>
      <w:r>
        <w:rPr>
          <w:rFonts w:ascii="Times New Roman" w:cs="Times New Roman" w:eastAsia="Times New Roman" w:hAnsi="Times New Roman"/>
          <w:sz w:val="16"/>
          <w:szCs w:val="16"/>
          <w:b w:val="1"/>
          <w:bCs w:val="1"/>
          <w:color w:val="auto"/>
        </w:rPr>
        <w:t>Investing in our ordinary shares involves risks that are described in the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section beginning of page 21 of this prospectus.</w:t>
      </w:r>
    </w:p>
    <w:p>
      <w:pPr>
        <w:spacing w:after="0" w:line="135" w:lineRule="exact"/>
        <w:rPr>
          <w:sz w:val="20"/>
          <w:szCs w:val="20"/>
          <w:color w:val="auto"/>
        </w:rPr>
      </w:pPr>
    </w:p>
    <w:p>
      <w:pPr>
        <w:ind w:right="400" w:firstLine="318"/>
        <w:spacing w:after="0" w:line="275" w:lineRule="auto"/>
        <w:rPr>
          <w:sz w:val="20"/>
          <w:szCs w:val="20"/>
          <w:color w:val="auto"/>
        </w:rPr>
      </w:pPr>
      <w:r>
        <w:rPr>
          <w:rFonts w:ascii="Times New Roman" w:cs="Times New Roman" w:eastAsia="Times New Roman" w:hAnsi="Times New Roman"/>
          <w:sz w:val="16"/>
          <w:szCs w:val="16"/>
          <w:color w:val="auto"/>
        </w:rPr>
        <w:t>Neither the Securities and Exchange Commission (“SEC”) nor any state securities commission has approved or disapproved of the securities to be issued under this prospectus or determined if this prospectus is truthful or complete. Any representations to the contrary is a criminal offense.</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We are both an “emerging growth company” and a “foreign private issuer” as defined under applicable U.S. federal securities laws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and, as such, may elect to comply with certain reduced public company reporting requirements for this and future filings. See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Prospectus Summary — Implications of Being an Emerging Growth Company</w:t>
      </w:r>
      <w:r>
        <w:rPr>
          <w:rFonts w:ascii="Times New Roman" w:cs="Times New Roman" w:eastAsia="Times New Roman" w:hAnsi="Times New Roman"/>
          <w:sz w:val="16"/>
          <w:szCs w:val="16"/>
          <w:b w:val="1"/>
          <w:bCs w:val="1"/>
          <w:color w:val="auto"/>
        </w:rPr>
        <w:t>” and “</w:t>
      </w:r>
      <w:r>
        <w:rPr>
          <w:rFonts w:ascii="Times New Roman" w:cs="Times New Roman" w:eastAsia="Times New Roman" w:hAnsi="Times New Roman"/>
          <w:sz w:val="16"/>
          <w:szCs w:val="16"/>
          <w:b w:val="1"/>
          <w:bCs w:val="1"/>
          <w:i w:val="1"/>
          <w:iCs w:val="1"/>
          <w:color w:val="auto"/>
        </w:rPr>
        <w:t>Prospectus Summary — Implications of Being 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Private Issuer</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180975</wp:posOffset>
            </wp:positionV>
            <wp:extent cx="15754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5435" cy="17145"/>
                    </a:xfrm>
                    <a:prstGeom prst="rect">
                      <a:avLst/>
                    </a:prstGeom>
                    <a:noFill/>
                  </pic:spPr>
                </pic:pic>
              </a:graphicData>
            </a:graphic>
          </wp:anchor>
        </w:drawing>
      </w:r>
    </w:p>
    <w:p>
      <w:pPr>
        <w:spacing w:after="0" w:line="397" w:lineRule="exact"/>
        <w:rPr>
          <w:sz w:val="20"/>
          <w:szCs w:val="20"/>
          <w:color w:val="auto"/>
        </w:rPr>
      </w:pPr>
    </w:p>
    <w:p>
      <w:pPr>
        <w:ind w:left="3560"/>
        <w:spacing w:after="0"/>
        <w:tabs>
          <w:tab w:leader="none" w:pos="5640" w:val="left"/>
        </w:tabs>
        <w:rPr>
          <w:sz w:val="20"/>
          <w:szCs w:val="20"/>
          <w:color w:val="auto"/>
        </w:rPr>
      </w:pPr>
      <w:r>
        <w:rPr>
          <w:rFonts w:ascii="Times New Roman" w:cs="Times New Roman" w:eastAsia="Times New Roman" w:hAnsi="Times New Roman"/>
          <w:sz w:val="16"/>
          <w:szCs w:val="16"/>
          <w:color w:val="auto"/>
        </w:rPr>
        <w:t>The date of this prospectus is</w:t>
      </w:r>
      <w:r>
        <w:rPr>
          <w:sz w:val="20"/>
          <w:szCs w:val="20"/>
          <w:color w:val="auto"/>
        </w:rPr>
        <w:tab/>
      </w:r>
      <w:r>
        <w:rPr>
          <w:rFonts w:ascii="Times New Roman" w:cs="Times New Roman" w:eastAsia="Times New Roman" w:hAnsi="Times New Roman"/>
          <w:sz w:val="15"/>
          <w:szCs w:val="15"/>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2536825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280" w:space="360"/>
            <w:col w:w="9280"/>
          </w:cols>
          <w:pgMar w:left="980" w:top="506"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286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6"/>
        </w:trPr>
        <w:tc>
          <w:tcPr>
            <w:tcW w:w="20" w:type="dxa"/>
            <w:vAlign w:val="bottom"/>
            <w:tcBorders>
              <w:bottom w:val="single" w:sz="8" w:color="0000EE"/>
            </w:tcBorders>
          </w:tcPr>
          <w:p>
            <w:pPr>
              <w:spacing w:after="0"/>
              <w:rPr>
                <w:sz w:val="16"/>
                <w:szCs w:val="16"/>
                <w:color w:val="auto"/>
              </w:rPr>
            </w:pPr>
          </w:p>
        </w:tc>
        <w:tc>
          <w:tcPr>
            <w:tcW w:w="1600" w:type="dxa"/>
            <w:vAlign w:val="bottom"/>
            <w:tcBorders>
              <w:bottom w:val="single" w:sz="8" w:color="0000EE"/>
            </w:tcBorders>
            <w:gridSpan w:val="11"/>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0000EE"/>
                <w:w w:val="96"/>
              </w:rPr>
              <w:t>About This Prospectus</w:t>
            </w:r>
          </w:p>
        </w:tc>
        <w:tc>
          <w:tcPr>
            <w:tcW w:w="7600" w:type="dxa"/>
            <w:vAlign w:val="bottom"/>
            <w:tcBorders>
              <w:bottom w:val="single" w:sz="8" w:color="CCEEFF"/>
            </w:tcBorders>
            <w:gridSpan w:val="18"/>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0" w:type="dxa"/>
            <w:vAlign w:val="bottom"/>
            <w:gridSpan w:val="29"/>
          </w:tcPr>
          <w:p>
            <w:pPr>
              <w:spacing w:after="0" w:line="172" w:lineRule="exact"/>
              <w:rPr>
                <w:sz w:val="20"/>
                <w:szCs w:val="20"/>
                <w:color w:val="auto"/>
              </w:rPr>
            </w:pPr>
            <w:r>
              <w:rPr>
                <w:rFonts w:ascii="Times New Roman" w:cs="Times New Roman" w:eastAsia="Times New Roman" w:hAnsi="Times New Roman"/>
                <w:sz w:val="18"/>
                <w:szCs w:val="18"/>
                <w:color w:val="0000EE"/>
              </w:rPr>
              <w:t>Presentation of Financial and Other Information</w:t>
            </w: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2"/>
        </w:trPr>
        <w:tc>
          <w:tcPr>
            <w:tcW w:w="20" w:type="dxa"/>
            <w:vAlign w:val="bottom"/>
            <w:tcBorders>
              <w:top w:val="single" w:sz="8" w:color="0000EE"/>
            </w:tcBorders>
          </w:tcPr>
          <w:p>
            <w:pPr>
              <w:spacing w:after="0"/>
              <w:rPr>
                <w:sz w:val="16"/>
                <w:szCs w:val="16"/>
                <w:color w:val="auto"/>
              </w:rPr>
            </w:pPr>
          </w:p>
        </w:tc>
        <w:tc>
          <w:tcPr>
            <w:tcW w:w="3380" w:type="dxa"/>
            <w:vAlign w:val="bottom"/>
            <w:tcBorders>
              <w:top w:val="single" w:sz="8" w:color="0000EE"/>
            </w:tcBorders>
            <w:gridSpan w:val="24"/>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Market and Industry Data</w:t>
            </w:r>
          </w:p>
        </w:tc>
        <w:tc>
          <w:tcPr>
            <w:tcW w:w="5820" w:type="dxa"/>
            <w:vAlign w:val="bottom"/>
            <w:gridSpan w:val="5"/>
            <w:shd w:val="clear" w:color="auto" w:fill="CCEEFF"/>
          </w:tcPr>
          <w:p>
            <w:pPr>
              <w:spacing w:after="0"/>
              <w:rPr>
                <w:sz w:val="16"/>
                <w:szCs w:val="16"/>
                <w:color w:val="auto"/>
              </w:rPr>
            </w:pP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9200" w:type="dxa"/>
            <w:vAlign w:val="bottom"/>
            <w:gridSpan w:val="29"/>
          </w:tcPr>
          <w:p>
            <w:pPr>
              <w:spacing w:after="0" w:line="172" w:lineRule="exact"/>
              <w:rPr>
                <w:sz w:val="20"/>
                <w:szCs w:val="20"/>
                <w:color w:val="auto"/>
              </w:rPr>
            </w:pPr>
            <w:r>
              <w:rPr>
                <w:rFonts w:ascii="Times New Roman" w:cs="Times New Roman" w:eastAsia="Times New Roman" w:hAnsi="Times New Roman"/>
                <w:sz w:val="18"/>
                <w:szCs w:val="18"/>
                <w:color w:val="0000EE"/>
              </w:rPr>
              <w:t>Trademarks, Service Marks and Trade Names</w:t>
            </w: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2"/>
        </w:trPr>
        <w:tc>
          <w:tcPr>
            <w:tcW w:w="20" w:type="dxa"/>
            <w:vAlign w:val="bottom"/>
            <w:tcBorders>
              <w:top w:val="single" w:sz="8" w:color="0000EE"/>
            </w:tcBorders>
          </w:tcPr>
          <w:p>
            <w:pPr>
              <w:spacing w:after="0"/>
              <w:rPr>
                <w:sz w:val="18"/>
                <w:szCs w:val="18"/>
                <w:color w:val="auto"/>
              </w:rPr>
            </w:pPr>
          </w:p>
        </w:tc>
        <w:tc>
          <w:tcPr>
            <w:tcW w:w="3220" w:type="dxa"/>
            <w:vAlign w:val="bottom"/>
            <w:tcBorders>
              <w:top w:val="single" w:sz="8" w:color="0000EE"/>
            </w:tcBorders>
            <w:gridSpan w:val="2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Prospectus Summary</w:t>
            </w:r>
          </w:p>
        </w:tc>
        <w:tc>
          <w:tcPr>
            <w:tcW w:w="5980" w:type="dxa"/>
            <w:vAlign w:val="bottom"/>
            <w:gridSpan w:val="7"/>
            <w:shd w:val="clear" w:color="auto" w:fill="CCEEFF"/>
          </w:tcPr>
          <w:p>
            <w:pPr>
              <w:spacing w:after="0"/>
              <w:rPr>
                <w:sz w:val="18"/>
                <w:szCs w:val="18"/>
                <w:color w:val="auto"/>
              </w:rPr>
            </w:pP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2"/>
        </w:trPr>
        <w:tc>
          <w:tcPr>
            <w:tcW w:w="20" w:type="dxa"/>
            <w:vAlign w:val="bottom"/>
            <w:tcBorders>
              <w:top w:val="single" w:sz="8" w:color="0000EE"/>
              <w:bottom w:val="single" w:sz="8" w:color="0000EE"/>
            </w:tcBorders>
          </w:tcPr>
          <w:p>
            <w:pPr>
              <w:spacing w:after="0"/>
              <w:rPr>
                <w:sz w:val="14"/>
                <w:szCs w:val="14"/>
                <w:color w:val="auto"/>
              </w:rPr>
            </w:pPr>
          </w:p>
        </w:tc>
        <w:tc>
          <w:tcPr>
            <w:tcW w:w="920" w:type="dxa"/>
            <w:vAlign w:val="bottom"/>
            <w:tcBorders>
              <w:top w:val="single" w:sz="8" w:color="0000EE"/>
              <w:bottom w:val="single" w:sz="8" w:color="0000EE"/>
            </w:tcBorders>
            <w:gridSpan w:val="6"/>
          </w:tcPr>
          <w:p>
            <w:pPr>
              <w:spacing w:after="0" w:line="172" w:lineRule="exact"/>
              <w:rPr>
                <w:sz w:val="20"/>
                <w:szCs w:val="20"/>
                <w:color w:val="auto"/>
              </w:rPr>
            </w:pPr>
            <w:r>
              <w:rPr>
                <w:rFonts w:ascii="Times New Roman" w:cs="Times New Roman" w:eastAsia="Times New Roman" w:hAnsi="Times New Roman"/>
                <w:sz w:val="18"/>
                <w:szCs w:val="18"/>
                <w:color w:val="0000EE"/>
                <w:w w:val="95"/>
              </w:rPr>
              <w:t>The Offering</w:t>
            </w:r>
          </w:p>
        </w:tc>
        <w:tc>
          <w:tcPr>
            <w:tcW w:w="560" w:type="dxa"/>
            <w:vAlign w:val="bottom"/>
            <w:tcBorders>
              <w:top w:val="single" w:sz="8" w:color="0000EE"/>
            </w:tcBorders>
            <w:gridSpan w:val="4"/>
          </w:tcPr>
          <w:p>
            <w:pPr>
              <w:spacing w:after="0"/>
              <w:rPr>
                <w:sz w:val="14"/>
                <w:szCs w:val="14"/>
                <w:color w:val="auto"/>
              </w:rPr>
            </w:pPr>
          </w:p>
        </w:tc>
        <w:tc>
          <w:tcPr>
            <w:tcW w:w="7720" w:type="dxa"/>
            <w:vAlign w:val="bottom"/>
            <w:tcBorders>
              <w:top w:val="single" w:sz="8" w:color="CCEEFF"/>
            </w:tcBorders>
            <w:gridSpan w:val="19"/>
          </w:tcPr>
          <w:p>
            <w:pPr>
              <w:spacing w:after="0"/>
              <w:rPr>
                <w:sz w:val="14"/>
                <w:szCs w:val="14"/>
                <w:color w:val="auto"/>
              </w:rPr>
            </w:pPr>
          </w:p>
        </w:tc>
        <w:tc>
          <w:tcPr>
            <w:tcW w:w="70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2"/>
        </w:trPr>
        <w:tc>
          <w:tcPr>
            <w:tcW w:w="20" w:type="dxa"/>
            <w:vAlign w:val="bottom"/>
            <w:tcBorders>
              <w:bottom w:val="single" w:sz="8" w:color="0000EE"/>
            </w:tcBorders>
          </w:tcPr>
          <w:p>
            <w:pPr>
              <w:spacing w:after="0"/>
              <w:rPr>
                <w:sz w:val="18"/>
                <w:szCs w:val="18"/>
                <w:color w:val="auto"/>
              </w:rPr>
            </w:pPr>
          </w:p>
        </w:tc>
        <w:tc>
          <w:tcPr>
            <w:tcW w:w="2800" w:type="dxa"/>
            <w:vAlign w:val="bottom"/>
            <w:tcBorders>
              <w:bottom w:val="single" w:sz="8" w:color="0000EE"/>
              <w:right w:val="single" w:sz="8" w:color="CCEEFF"/>
            </w:tcBorders>
            <w:gridSpan w:val="1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8"/>
              </w:rPr>
              <w:t>Summary Consolidated Financial Data</w:t>
            </w:r>
          </w:p>
        </w:tc>
        <w:tc>
          <w:tcPr>
            <w:tcW w:w="6400" w:type="dxa"/>
            <w:vAlign w:val="bottom"/>
            <w:tcBorders>
              <w:bottom w:val="single" w:sz="8" w:color="CCEEFF"/>
            </w:tcBorders>
            <w:gridSpan w:val="10"/>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2"/>
        </w:trPr>
        <w:tc>
          <w:tcPr>
            <w:tcW w:w="20" w:type="dxa"/>
            <w:vAlign w:val="bottom"/>
            <w:tcBorders>
              <w:bottom w:val="single" w:sz="8" w:color="0000EE"/>
            </w:tcBorders>
          </w:tcPr>
          <w:p>
            <w:pPr>
              <w:spacing w:after="0"/>
              <w:rPr>
                <w:sz w:val="14"/>
                <w:szCs w:val="14"/>
                <w:color w:val="auto"/>
              </w:rPr>
            </w:pPr>
          </w:p>
        </w:tc>
        <w:tc>
          <w:tcPr>
            <w:tcW w:w="880" w:type="dxa"/>
            <w:vAlign w:val="bottom"/>
            <w:tcBorders>
              <w:bottom w:val="single" w:sz="8" w:color="0000EE"/>
            </w:tcBorders>
            <w:gridSpan w:val="4"/>
          </w:tcPr>
          <w:p>
            <w:pPr>
              <w:spacing w:after="0" w:line="172" w:lineRule="exact"/>
              <w:rPr>
                <w:sz w:val="20"/>
                <w:szCs w:val="20"/>
                <w:color w:val="auto"/>
              </w:rPr>
            </w:pPr>
            <w:r>
              <w:rPr>
                <w:rFonts w:ascii="Times New Roman" w:cs="Times New Roman" w:eastAsia="Times New Roman" w:hAnsi="Times New Roman"/>
                <w:sz w:val="18"/>
                <w:szCs w:val="18"/>
                <w:color w:val="0000EE"/>
                <w:w w:val="94"/>
              </w:rPr>
              <w:t>Risk Factors</w:t>
            </w:r>
          </w:p>
        </w:tc>
        <w:tc>
          <w:tcPr>
            <w:tcW w:w="8320" w:type="dxa"/>
            <w:vAlign w:val="bottom"/>
            <w:gridSpan w:val="25"/>
          </w:tcPr>
          <w:p>
            <w:pPr>
              <w:spacing w:after="0"/>
              <w:rPr>
                <w:sz w:val="14"/>
                <w:szCs w:val="14"/>
                <w:color w:val="auto"/>
              </w:rPr>
            </w:pP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0" w:type="dxa"/>
            <w:vAlign w:val="bottom"/>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2"/>
        </w:trPr>
        <w:tc>
          <w:tcPr>
            <w:tcW w:w="20" w:type="dxa"/>
            <w:vAlign w:val="bottom"/>
            <w:tcBorders>
              <w:top w:val="single" w:sz="8" w:color="0000EE"/>
              <w:bottom w:val="single" w:sz="8" w:color="0000EE"/>
            </w:tcBorders>
          </w:tcPr>
          <w:p>
            <w:pPr>
              <w:spacing w:after="0"/>
              <w:rPr>
                <w:sz w:val="14"/>
                <w:szCs w:val="14"/>
                <w:color w:val="auto"/>
              </w:rPr>
            </w:pPr>
          </w:p>
        </w:tc>
        <w:tc>
          <w:tcPr>
            <w:tcW w:w="1140" w:type="dxa"/>
            <w:vAlign w:val="bottom"/>
            <w:tcBorders>
              <w:top w:val="single" w:sz="8" w:color="0000EE"/>
              <w:bottom w:val="single" w:sz="8" w:color="0000EE"/>
            </w:tcBorders>
            <w:gridSpan w:val="8"/>
          </w:tcPr>
          <w:p>
            <w:pPr>
              <w:spacing w:after="0" w:line="172" w:lineRule="exact"/>
              <w:rPr>
                <w:sz w:val="20"/>
                <w:szCs w:val="20"/>
                <w:color w:val="auto"/>
              </w:rPr>
            </w:pPr>
            <w:r>
              <w:rPr>
                <w:rFonts w:ascii="Times New Roman" w:cs="Times New Roman" w:eastAsia="Times New Roman" w:hAnsi="Times New Roman"/>
                <w:sz w:val="18"/>
                <w:szCs w:val="18"/>
                <w:color w:val="0000EE"/>
                <w:w w:val="95"/>
              </w:rPr>
              <w:t>Use of Proceeds</w:t>
            </w:r>
          </w:p>
        </w:tc>
        <w:tc>
          <w:tcPr>
            <w:tcW w:w="3280" w:type="dxa"/>
            <w:vAlign w:val="bottom"/>
            <w:tcBorders>
              <w:top w:val="single" w:sz="8" w:color="0000EE"/>
            </w:tcBorders>
            <w:gridSpan w:val="19"/>
          </w:tcPr>
          <w:p>
            <w:pPr>
              <w:spacing w:after="0"/>
              <w:rPr>
                <w:sz w:val="14"/>
                <w:szCs w:val="14"/>
                <w:color w:val="auto"/>
              </w:rPr>
            </w:pPr>
          </w:p>
        </w:tc>
        <w:tc>
          <w:tcPr>
            <w:tcW w:w="4780" w:type="dxa"/>
            <w:vAlign w:val="bottom"/>
            <w:tcBorders>
              <w:top w:val="single" w:sz="8" w:color="CCEEFF"/>
            </w:tcBorders>
            <w:gridSpan w:val="2"/>
          </w:tcPr>
          <w:p>
            <w:pPr>
              <w:spacing w:after="0"/>
              <w:rPr>
                <w:sz w:val="14"/>
                <w:szCs w:val="14"/>
                <w:color w:val="auto"/>
              </w:rPr>
            </w:pPr>
          </w:p>
        </w:tc>
        <w:tc>
          <w:tcPr>
            <w:tcW w:w="70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0" w:type="dxa"/>
            <w:vAlign w:val="bottom"/>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The Committed Equity Financing</w:t>
            </w: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2"/>
        </w:trPr>
        <w:tc>
          <w:tcPr>
            <w:tcW w:w="20" w:type="dxa"/>
            <w:vAlign w:val="bottom"/>
            <w:tcBorders>
              <w:top w:val="single" w:sz="8" w:color="0000EE"/>
            </w:tcBorders>
          </w:tcPr>
          <w:p>
            <w:pPr>
              <w:spacing w:after="0"/>
              <w:rPr>
                <w:sz w:val="14"/>
                <w:szCs w:val="14"/>
                <w:color w:val="auto"/>
              </w:rPr>
            </w:pPr>
          </w:p>
        </w:tc>
        <w:tc>
          <w:tcPr>
            <w:tcW w:w="2360" w:type="dxa"/>
            <w:vAlign w:val="bottom"/>
            <w:tcBorders>
              <w:top w:val="single" w:sz="8" w:color="0000EE"/>
            </w:tcBorders>
            <w:gridSpan w:val="18"/>
          </w:tcPr>
          <w:p>
            <w:pPr>
              <w:spacing w:after="0" w:line="172"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6840" w:type="dxa"/>
            <w:vAlign w:val="bottom"/>
            <w:tcBorders>
              <w:top w:val="single" w:sz="8" w:color="CCEEFF"/>
            </w:tcBorders>
            <w:gridSpan w:val="11"/>
          </w:tcPr>
          <w:p>
            <w:pPr>
              <w:spacing w:after="0"/>
              <w:rPr>
                <w:sz w:val="14"/>
                <w:szCs w:val="14"/>
                <w:color w:val="auto"/>
              </w:rPr>
            </w:pPr>
          </w:p>
        </w:tc>
        <w:tc>
          <w:tcPr>
            <w:tcW w:w="70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2"/>
        </w:trPr>
        <w:tc>
          <w:tcPr>
            <w:tcW w:w="20" w:type="dxa"/>
            <w:vAlign w:val="bottom"/>
            <w:tcBorders>
              <w:top w:val="single" w:sz="8" w:color="0000EE"/>
            </w:tcBorders>
          </w:tcPr>
          <w:p>
            <w:pPr>
              <w:spacing w:after="0"/>
              <w:rPr>
                <w:sz w:val="16"/>
                <w:szCs w:val="16"/>
                <w:color w:val="auto"/>
              </w:rPr>
            </w:pPr>
          </w:p>
        </w:tc>
        <w:tc>
          <w:tcPr>
            <w:tcW w:w="2240" w:type="dxa"/>
            <w:vAlign w:val="bottom"/>
            <w:tcBorders>
              <w:top w:val="single" w:sz="8" w:color="0000EE"/>
            </w:tcBorders>
            <w:gridSpan w:val="16"/>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Dividend Policy</w:t>
            </w:r>
          </w:p>
        </w:tc>
        <w:tc>
          <w:tcPr>
            <w:tcW w:w="6960" w:type="dxa"/>
            <w:vAlign w:val="bottom"/>
            <w:gridSpan w:val="13"/>
            <w:shd w:val="clear" w:color="auto" w:fill="CCEEFF"/>
          </w:tcPr>
          <w:p>
            <w:pPr>
              <w:spacing w:after="0"/>
              <w:rPr>
                <w:sz w:val="16"/>
                <w:szCs w:val="16"/>
                <w:color w:val="auto"/>
              </w:rPr>
            </w:pP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Borders>
              <w:bottom w:val="single" w:sz="8" w:color="0000EE"/>
            </w:tcBorders>
            <w:vMerge w:val="continue"/>
          </w:tcPr>
          <w:p>
            <w:pPr>
              <w:spacing w:after="0"/>
              <w:rPr>
                <w:sz w:val="14"/>
                <w:szCs w:val="14"/>
                <w:color w:val="auto"/>
              </w:rPr>
            </w:pPr>
          </w:p>
        </w:tc>
        <w:tc>
          <w:tcPr>
            <w:tcW w:w="6340" w:type="dxa"/>
            <w:vAlign w:val="bottom"/>
            <w:tcBorders>
              <w:bottom w:val="single" w:sz="8" w:color="0000EE"/>
            </w:tcBorders>
            <w:gridSpan w:val="28"/>
          </w:tcPr>
          <w:p>
            <w:pPr>
              <w:spacing w:after="0" w:line="172" w:lineRule="exact"/>
              <w:rPr>
                <w:sz w:val="20"/>
                <w:szCs w:val="20"/>
                <w:color w:val="auto"/>
              </w:rPr>
            </w:pPr>
            <w:r>
              <w:rPr>
                <w:rFonts w:ascii="Times New Roman" w:cs="Times New Roman" w:eastAsia="Times New Roman" w:hAnsi="Times New Roman"/>
                <w:sz w:val="18"/>
                <w:szCs w:val="18"/>
                <w:color w:val="0000EE"/>
                <w:w w:val="97"/>
              </w:rPr>
              <w:t>Management’s Discussion and Analysis of Financial Condition and Results of Operations</w:t>
            </w:r>
          </w:p>
        </w:tc>
        <w:tc>
          <w:tcPr>
            <w:tcW w:w="2860" w:type="dxa"/>
            <w:vAlign w:val="bottom"/>
          </w:tcPr>
          <w:p>
            <w:pPr>
              <w:spacing w:after="0"/>
              <w:rPr>
                <w:sz w:val="14"/>
                <w:szCs w:val="14"/>
                <w:color w:val="auto"/>
              </w:rPr>
            </w:pP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2"/>
        </w:trPr>
        <w:tc>
          <w:tcPr>
            <w:tcW w:w="20" w:type="dxa"/>
            <w:vAlign w:val="bottom"/>
            <w:tcBorders>
              <w:bottom w:val="single" w:sz="8" w:color="0000EE"/>
            </w:tcBorders>
          </w:tcPr>
          <w:p>
            <w:pPr>
              <w:spacing w:after="0"/>
              <w:rPr>
                <w:sz w:val="18"/>
                <w:szCs w:val="18"/>
                <w:color w:val="auto"/>
              </w:rPr>
            </w:pPr>
          </w:p>
        </w:tc>
        <w:tc>
          <w:tcPr>
            <w:tcW w:w="620" w:type="dxa"/>
            <w:vAlign w:val="bottom"/>
            <w:tcBorders>
              <w:bottom w:val="single" w:sz="8" w:color="0000EE"/>
            </w:tcBorders>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3"/>
              </w:rPr>
              <w:t>Business</w:t>
            </w:r>
          </w:p>
        </w:tc>
        <w:tc>
          <w:tcPr>
            <w:tcW w:w="8580" w:type="dxa"/>
            <w:vAlign w:val="bottom"/>
            <w:tcBorders>
              <w:bottom w:val="single" w:sz="8" w:color="CCEEFF"/>
            </w:tcBorders>
            <w:gridSpan w:val="26"/>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72"/>
        </w:trPr>
        <w:tc>
          <w:tcPr>
            <w:tcW w:w="20" w:type="dxa"/>
            <w:vAlign w:val="bottom"/>
            <w:tcBorders>
              <w:bottom w:val="single" w:sz="8" w:color="0000EE"/>
            </w:tcBorders>
          </w:tcPr>
          <w:p>
            <w:pPr>
              <w:spacing w:after="0"/>
              <w:rPr>
                <w:sz w:val="14"/>
                <w:szCs w:val="14"/>
                <w:color w:val="auto"/>
              </w:rPr>
            </w:pPr>
          </w:p>
        </w:tc>
        <w:tc>
          <w:tcPr>
            <w:tcW w:w="1740" w:type="dxa"/>
            <w:vAlign w:val="bottom"/>
            <w:tcBorders>
              <w:bottom w:val="single" w:sz="8" w:color="0000EE"/>
            </w:tcBorders>
            <w:gridSpan w:val="12"/>
          </w:tcPr>
          <w:p>
            <w:pPr>
              <w:spacing w:after="0" w:line="172" w:lineRule="exact"/>
              <w:rPr>
                <w:sz w:val="20"/>
                <w:szCs w:val="20"/>
                <w:color w:val="auto"/>
              </w:rPr>
            </w:pPr>
            <w:r>
              <w:rPr>
                <w:rFonts w:ascii="Times New Roman" w:cs="Times New Roman" w:eastAsia="Times New Roman" w:hAnsi="Times New Roman"/>
                <w:sz w:val="18"/>
                <w:szCs w:val="18"/>
                <w:color w:val="0000EE"/>
                <w:w w:val="96"/>
              </w:rPr>
              <w:t>Regulatory Environment</w:t>
            </w:r>
          </w:p>
        </w:tc>
        <w:tc>
          <w:tcPr>
            <w:tcW w:w="7460" w:type="dxa"/>
            <w:vAlign w:val="bottom"/>
            <w:gridSpan w:val="17"/>
          </w:tcPr>
          <w:p>
            <w:pPr>
              <w:spacing w:after="0"/>
              <w:rPr>
                <w:sz w:val="14"/>
                <w:szCs w:val="14"/>
                <w:color w:val="auto"/>
              </w:rPr>
            </w:pP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0" w:type="dxa"/>
            <w:vAlign w:val="bottom"/>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Management</w:t>
            </w: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Borders>
              <w:bottom w:val="single" w:sz="8" w:color="0000EE"/>
            </w:tcBorders>
            <w:vMerge w:val="continue"/>
          </w:tcPr>
          <w:p>
            <w:pPr>
              <w:spacing w:after="0"/>
              <w:rPr>
                <w:sz w:val="14"/>
                <w:szCs w:val="14"/>
                <w:color w:val="auto"/>
              </w:rPr>
            </w:pPr>
          </w:p>
        </w:tc>
        <w:tc>
          <w:tcPr>
            <w:tcW w:w="1600" w:type="dxa"/>
            <w:vAlign w:val="bottom"/>
            <w:tcBorders>
              <w:bottom w:val="single" w:sz="8" w:color="0000EE"/>
            </w:tcBorders>
            <w:gridSpan w:val="11"/>
          </w:tcPr>
          <w:p>
            <w:pPr>
              <w:spacing w:after="0" w:line="172" w:lineRule="exact"/>
              <w:rPr>
                <w:sz w:val="20"/>
                <w:szCs w:val="20"/>
                <w:color w:val="auto"/>
              </w:rPr>
            </w:pPr>
            <w:r>
              <w:rPr>
                <w:rFonts w:ascii="Times New Roman" w:cs="Times New Roman" w:eastAsia="Times New Roman" w:hAnsi="Times New Roman"/>
                <w:sz w:val="18"/>
                <w:szCs w:val="18"/>
                <w:color w:val="0000EE"/>
                <w:w w:val="96"/>
              </w:rPr>
              <w:t>Principal Shareholders</w:t>
            </w:r>
          </w:p>
        </w:tc>
        <w:tc>
          <w:tcPr>
            <w:tcW w:w="7600" w:type="dxa"/>
            <w:vAlign w:val="bottom"/>
            <w:gridSpan w:val="18"/>
          </w:tcPr>
          <w:p>
            <w:pPr>
              <w:spacing w:after="0"/>
              <w:rPr>
                <w:sz w:val="14"/>
                <w:szCs w:val="14"/>
                <w:color w:val="auto"/>
              </w:rPr>
            </w:pP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0" w:type="dxa"/>
            <w:vAlign w:val="bottom"/>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Selling Shareholder</w:t>
            </w: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9200" w:type="dxa"/>
            <w:vAlign w:val="bottom"/>
            <w:gridSpan w:val="29"/>
          </w:tcPr>
          <w:p>
            <w:pPr>
              <w:spacing w:after="0" w:line="17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0000EE"/>
            </w:tcBorders>
          </w:tcPr>
          <w:p>
            <w:pPr>
              <w:spacing w:after="0"/>
              <w:rPr>
                <w:sz w:val="18"/>
                <w:szCs w:val="18"/>
                <w:color w:val="auto"/>
              </w:rPr>
            </w:pPr>
          </w:p>
        </w:tc>
        <w:tc>
          <w:tcPr>
            <w:tcW w:w="3980" w:type="dxa"/>
            <w:vAlign w:val="bottom"/>
            <w:tcBorders>
              <w:bottom w:val="single" w:sz="8" w:color="0000EE"/>
            </w:tcBorders>
            <w:gridSpan w:val="25"/>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7"/>
              </w:rPr>
              <w:t>Description of Share Capital and Articles of Association</w:t>
            </w:r>
          </w:p>
        </w:tc>
        <w:tc>
          <w:tcPr>
            <w:tcW w:w="5220" w:type="dxa"/>
            <w:vAlign w:val="bottom"/>
            <w:tcBorders>
              <w:bottom w:val="single" w:sz="8" w:color="CCEEFF"/>
            </w:tcBorders>
            <w:gridSpan w:val="4"/>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72"/>
        </w:trPr>
        <w:tc>
          <w:tcPr>
            <w:tcW w:w="20" w:type="dxa"/>
            <w:vAlign w:val="bottom"/>
            <w:tcBorders>
              <w:bottom w:val="single" w:sz="8" w:color="0000EE"/>
            </w:tcBorders>
          </w:tcPr>
          <w:p>
            <w:pPr>
              <w:spacing w:after="0"/>
              <w:rPr>
                <w:sz w:val="14"/>
                <w:szCs w:val="14"/>
                <w:color w:val="auto"/>
              </w:rPr>
            </w:pPr>
          </w:p>
        </w:tc>
        <w:tc>
          <w:tcPr>
            <w:tcW w:w="4400" w:type="dxa"/>
            <w:vAlign w:val="bottom"/>
            <w:tcBorders>
              <w:bottom w:val="single" w:sz="8" w:color="0000EE"/>
            </w:tcBorders>
            <w:gridSpan w:val="26"/>
          </w:tcPr>
          <w:p>
            <w:pPr>
              <w:spacing w:after="0" w:line="172" w:lineRule="exact"/>
              <w:rPr>
                <w:sz w:val="20"/>
                <w:szCs w:val="20"/>
                <w:color w:val="auto"/>
              </w:rPr>
            </w:pPr>
            <w:r>
              <w:rPr>
                <w:rFonts w:ascii="Times New Roman" w:cs="Times New Roman" w:eastAsia="Times New Roman" w:hAnsi="Times New Roman"/>
                <w:sz w:val="18"/>
                <w:szCs w:val="18"/>
                <w:color w:val="0000EE"/>
                <w:w w:val="97"/>
              </w:rPr>
              <w:t>Comparison of Dutch Corporate Law and U.S. Corporate Law</w:t>
            </w:r>
          </w:p>
        </w:tc>
        <w:tc>
          <w:tcPr>
            <w:tcW w:w="4800" w:type="dxa"/>
            <w:vAlign w:val="bottom"/>
            <w:gridSpan w:val="3"/>
          </w:tcPr>
          <w:p>
            <w:pPr>
              <w:spacing w:after="0"/>
              <w:rPr>
                <w:sz w:val="14"/>
                <w:szCs w:val="14"/>
                <w:color w:val="auto"/>
              </w:rPr>
            </w:pP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0" w:type="dxa"/>
            <w:vAlign w:val="bottom"/>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Ordinary Shares Eligible for Future Sale</w:t>
            </w: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72"/>
        </w:trPr>
        <w:tc>
          <w:tcPr>
            <w:tcW w:w="20" w:type="dxa"/>
            <w:vAlign w:val="bottom"/>
            <w:tcBorders>
              <w:top w:val="single" w:sz="8" w:color="0000EE"/>
            </w:tcBorders>
          </w:tcPr>
          <w:p>
            <w:pPr>
              <w:spacing w:after="0"/>
              <w:rPr>
                <w:sz w:val="14"/>
                <w:szCs w:val="14"/>
                <w:color w:val="auto"/>
              </w:rPr>
            </w:pPr>
          </w:p>
        </w:tc>
        <w:tc>
          <w:tcPr>
            <w:tcW w:w="2840" w:type="dxa"/>
            <w:vAlign w:val="bottom"/>
            <w:tcBorders>
              <w:top w:val="single" w:sz="8" w:color="0000EE"/>
            </w:tcBorders>
            <w:gridSpan w:val="20"/>
          </w:tcPr>
          <w:p>
            <w:pPr>
              <w:spacing w:after="0" w:line="172" w:lineRule="exact"/>
              <w:rPr>
                <w:sz w:val="20"/>
                <w:szCs w:val="20"/>
                <w:color w:val="auto"/>
              </w:rPr>
            </w:pPr>
            <w:r>
              <w:rPr>
                <w:rFonts w:ascii="Times New Roman" w:cs="Times New Roman" w:eastAsia="Times New Roman" w:hAnsi="Times New Roman"/>
                <w:sz w:val="18"/>
                <w:szCs w:val="18"/>
                <w:color w:val="0000EE"/>
              </w:rPr>
              <w:t>Taxation</w:t>
            </w:r>
          </w:p>
        </w:tc>
        <w:tc>
          <w:tcPr>
            <w:tcW w:w="6360" w:type="dxa"/>
            <w:vAlign w:val="bottom"/>
            <w:tcBorders>
              <w:top w:val="single" w:sz="8" w:color="CCEEFF"/>
            </w:tcBorders>
            <w:gridSpan w:val="9"/>
          </w:tcPr>
          <w:p>
            <w:pPr>
              <w:spacing w:after="0"/>
              <w:rPr>
                <w:sz w:val="14"/>
                <w:szCs w:val="14"/>
                <w:color w:val="auto"/>
              </w:rPr>
            </w:pPr>
          </w:p>
        </w:tc>
        <w:tc>
          <w:tcPr>
            <w:tcW w:w="70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200" w:type="dxa"/>
            <w:vAlign w:val="bottom"/>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Plan of Distribution (Conflicts of Interest)</w:t>
            </w: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72"/>
        </w:trPr>
        <w:tc>
          <w:tcPr>
            <w:tcW w:w="20" w:type="dxa"/>
            <w:vAlign w:val="bottom"/>
            <w:tcBorders>
              <w:top w:val="single" w:sz="8" w:color="0000EE"/>
              <w:bottom w:val="single" w:sz="8" w:color="0000EE"/>
            </w:tcBorders>
          </w:tcPr>
          <w:p>
            <w:pPr>
              <w:spacing w:after="0"/>
              <w:rPr>
                <w:sz w:val="14"/>
                <w:szCs w:val="14"/>
                <w:color w:val="auto"/>
              </w:rPr>
            </w:pPr>
          </w:p>
        </w:tc>
        <w:tc>
          <w:tcPr>
            <w:tcW w:w="1760" w:type="dxa"/>
            <w:vAlign w:val="bottom"/>
            <w:tcBorders>
              <w:top w:val="single" w:sz="8" w:color="0000EE"/>
              <w:bottom w:val="single" w:sz="8" w:color="0000EE"/>
            </w:tcBorders>
            <w:gridSpan w:val="13"/>
          </w:tcPr>
          <w:p>
            <w:pPr>
              <w:spacing w:after="0" w:line="172" w:lineRule="exact"/>
              <w:rPr>
                <w:sz w:val="20"/>
                <w:szCs w:val="20"/>
                <w:color w:val="auto"/>
              </w:rPr>
            </w:pPr>
            <w:r>
              <w:rPr>
                <w:rFonts w:ascii="Times New Roman" w:cs="Times New Roman" w:eastAsia="Times New Roman" w:hAnsi="Times New Roman"/>
                <w:sz w:val="18"/>
                <w:szCs w:val="18"/>
                <w:color w:val="0000EE"/>
                <w:w w:val="96"/>
              </w:rPr>
              <w:t>Expenses of the Offering</w:t>
            </w:r>
          </w:p>
        </w:tc>
        <w:tc>
          <w:tcPr>
            <w:tcW w:w="1200" w:type="dxa"/>
            <w:vAlign w:val="bottom"/>
            <w:tcBorders>
              <w:top w:val="single" w:sz="8" w:color="0000EE"/>
            </w:tcBorders>
            <w:gridSpan w:val="8"/>
          </w:tcPr>
          <w:p>
            <w:pPr>
              <w:spacing w:after="0"/>
              <w:rPr>
                <w:sz w:val="14"/>
                <w:szCs w:val="14"/>
                <w:color w:val="auto"/>
              </w:rPr>
            </w:pPr>
          </w:p>
        </w:tc>
        <w:tc>
          <w:tcPr>
            <w:tcW w:w="6240" w:type="dxa"/>
            <w:vAlign w:val="bottom"/>
            <w:tcBorders>
              <w:top w:val="single" w:sz="8" w:color="CCEEFF"/>
            </w:tcBorders>
            <w:gridSpan w:val="8"/>
          </w:tcPr>
          <w:p>
            <w:pPr>
              <w:spacing w:after="0"/>
              <w:rPr>
                <w:sz w:val="14"/>
                <w:szCs w:val="14"/>
                <w:color w:val="auto"/>
              </w:rPr>
            </w:pPr>
          </w:p>
        </w:tc>
        <w:tc>
          <w:tcPr>
            <w:tcW w:w="70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2"/>
        </w:trPr>
        <w:tc>
          <w:tcPr>
            <w:tcW w:w="20" w:type="dxa"/>
            <w:vAlign w:val="bottom"/>
            <w:tcBorders>
              <w:bottom w:val="single" w:sz="8" w:color="0000EE"/>
            </w:tcBorders>
          </w:tcPr>
          <w:p>
            <w:pPr>
              <w:spacing w:after="0"/>
              <w:rPr>
                <w:sz w:val="18"/>
                <w:szCs w:val="18"/>
                <w:color w:val="auto"/>
              </w:rPr>
            </w:pPr>
          </w:p>
        </w:tc>
        <w:tc>
          <w:tcPr>
            <w:tcW w:w="980" w:type="dxa"/>
            <w:vAlign w:val="bottom"/>
            <w:tcBorders>
              <w:bottom w:val="single" w:sz="8" w:color="0000EE"/>
            </w:tcBorders>
            <w:gridSpan w:val="7"/>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5"/>
              </w:rPr>
              <w:t>Legal Matters</w:t>
            </w:r>
          </w:p>
        </w:tc>
        <w:tc>
          <w:tcPr>
            <w:tcW w:w="8220" w:type="dxa"/>
            <w:vAlign w:val="bottom"/>
            <w:tcBorders>
              <w:bottom w:val="single" w:sz="8" w:color="CCEEFF"/>
            </w:tcBorders>
            <w:gridSpan w:val="22"/>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0" w:type="dxa"/>
            <w:vAlign w:val="bottom"/>
            <w:gridSpan w:val="29"/>
          </w:tcPr>
          <w:p>
            <w:pPr>
              <w:spacing w:after="0" w:line="172" w:lineRule="exact"/>
              <w:rPr>
                <w:sz w:val="20"/>
                <w:szCs w:val="20"/>
                <w:color w:val="auto"/>
              </w:rPr>
            </w:pPr>
            <w:r>
              <w:rPr>
                <w:rFonts w:ascii="Times New Roman" w:cs="Times New Roman" w:eastAsia="Times New Roman" w:hAnsi="Times New Roman"/>
                <w:sz w:val="18"/>
                <w:szCs w:val="18"/>
                <w:color w:val="0000EE"/>
              </w:rPr>
              <w:t>Experts</w:t>
            </w: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0000EE"/>
            </w:tcBorders>
          </w:tcPr>
          <w:p>
            <w:pPr>
              <w:spacing w:after="0"/>
              <w:rPr>
                <w:sz w:val="18"/>
                <w:szCs w:val="18"/>
                <w:color w:val="auto"/>
              </w:rPr>
            </w:pPr>
          </w:p>
        </w:tc>
        <w:tc>
          <w:tcPr>
            <w:tcW w:w="2260" w:type="dxa"/>
            <w:vAlign w:val="bottom"/>
            <w:tcBorders>
              <w:bottom w:val="single" w:sz="8" w:color="0000EE"/>
            </w:tcBorders>
            <w:gridSpan w:val="17"/>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7"/>
              </w:rPr>
              <w:t>Enforcement of Civil Liabilities</w:t>
            </w:r>
          </w:p>
        </w:tc>
        <w:tc>
          <w:tcPr>
            <w:tcW w:w="6940" w:type="dxa"/>
            <w:vAlign w:val="bottom"/>
            <w:tcBorders>
              <w:bottom w:val="single" w:sz="8" w:color="CCEEFF"/>
            </w:tcBorders>
            <w:gridSpan w:val="12"/>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0" w:type="dxa"/>
            <w:vAlign w:val="bottom"/>
            <w:gridSpan w:val="29"/>
          </w:tcPr>
          <w:p>
            <w:pPr>
              <w:spacing w:after="0" w:line="17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0000EE"/>
            </w:tcBorders>
          </w:tcPr>
          <w:p>
            <w:pPr>
              <w:spacing w:after="0"/>
              <w:rPr>
                <w:sz w:val="18"/>
                <w:szCs w:val="18"/>
                <w:color w:val="auto"/>
              </w:rPr>
            </w:pPr>
          </w:p>
        </w:tc>
        <w:tc>
          <w:tcPr>
            <w:tcW w:w="3340" w:type="dxa"/>
            <w:vAlign w:val="bottom"/>
            <w:tcBorders>
              <w:bottom w:val="single" w:sz="8" w:color="0000EE"/>
            </w:tcBorders>
            <w:gridSpan w:val="2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7"/>
              </w:rPr>
              <w:t>Index to the Consolidated Financial Statements</w:t>
            </w:r>
          </w:p>
        </w:tc>
        <w:tc>
          <w:tcPr>
            <w:tcW w:w="5860" w:type="dxa"/>
            <w:vAlign w:val="bottom"/>
            <w:tcBorders>
              <w:bottom w:val="single" w:sz="8" w:color="CCEEFF"/>
            </w:tcBorders>
            <w:gridSpan w:val="6"/>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or any supplement. Neither we nor the Selling Shareholder have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w:t>
      </w:r>
    </w:p>
    <w:p>
      <w:pPr>
        <w:spacing w:after="0" w:line="184" w:lineRule="exact"/>
        <w:rPr>
          <w:sz w:val="20"/>
          <w:szCs w:val="20"/>
          <w:color w:val="auto"/>
        </w:rPr>
      </w:pPr>
    </w:p>
    <w:p>
      <w:pPr>
        <w:ind w:right="200" w:firstLine="318"/>
        <w:spacing w:after="0" w:line="253" w:lineRule="auto"/>
        <w:rPr>
          <w:sz w:val="20"/>
          <w:szCs w:val="20"/>
          <w:color w:val="auto"/>
        </w:rPr>
      </w:pPr>
      <w:r>
        <w:rPr>
          <w:rFonts w:ascii="Times New Roman" w:cs="Times New Roman" w:eastAsia="Times New Roman" w:hAnsi="Times New Roman"/>
          <w:sz w:val="18"/>
          <w:szCs w:val="18"/>
          <w:color w:val="auto"/>
        </w:rPr>
        <w:t>Except as otherwise set forth in this prospectus, neither we nor the Selling Shareholder have taken any action to permit a public offering of these securities outside the United States of America (“United States” or “U.S.”)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filed with the SEC by Sono Group N.V. The Selling Shareholder named in this prospectus may, from time to time, sell the securities described in this prospectus in one or more offerings. This prospectus includes important information about us, the securities being offered by the Selling Shareholder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You should rely only on information contained in this prospectus, any prospectus supplement and any related free writing prospectus. We have not, and the Selling Shareholder has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93"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have historically conducted our business through Sono Motors GmbH, which became a wholly- owned subsidiary of Sono Group N.V. after a corporate reorganization: 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ordinary shares of Sono Motors Finance B.V. In addition, the sole issued and outstanding ordinary share in Sono Motors Finance B.V. at that time, which was held by Sono Motors GmbH, was canceled (</w:t>
      </w:r>
      <w:r>
        <w:rPr>
          <w:rFonts w:ascii="Times New Roman" w:cs="Times New Roman" w:eastAsia="Times New Roman" w:hAnsi="Times New Roman"/>
          <w:sz w:val="18"/>
          <w:szCs w:val="18"/>
          <w:i w:val="1"/>
          <w:iCs w:val="1"/>
          <w:color w:val="auto"/>
        </w:rPr>
        <w:t>ingetrokken</w:t>
      </w:r>
      <w:r>
        <w:rPr>
          <w:rFonts w:ascii="Times New Roman" w:cs="Times New Roman" w:eastAsia="Times New Roman" w:hAnsi="Times New Roman"/>
          <w:sz w:val="18"/>
          <w:szCs w:val="18"/>
          <w:color w:val="auto"/>
        </w:rPr>
        <w:t>).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changed its legal name from Sono Motors Finance B.V. to Sono Group N.V. A portion of the newly issued ordinary shares of Sono Group N.V. was also converted into high voting shares in the share capital of Sono Group N.V. Only the ordinary shares of Sono Group N.V. are being offered hereby.</w:t>
      </w:r>
    </w:p>
    <w:p>
      <w:pPr>
        <w:spacing w:after="0" w:line="194"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Immediately prior to the pricing of our initial public offering (“IPO”) on November 16, 2021, we issued additional ordinary shares to all of our existing shareholders, having the effect of a share split. Each of our existing shareholders received 0.71 additional ordinary shares per ordinary share or high voting share held by them immediately prior to the pricing of our IPO, rounded down to the nearest integer. This resulted in an issuance of 25,468,644 ordinary shares to our existing shareholders. These ordinary shares were issued for no consideration. The nominal value of these ordinary shares was charged against our reserves.</w:t>
      </w:r>
    </w:p>
    <w:p>
      <w:pPr>
        <w:spacing w:after="0" w:line="18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“Sono Motors,” the “Company,” “we,” “our,” “ours,” “ourselves,” “us” or similar terms refer to (i) Sono Motors GmbH, together with its subsidiary Sono Motors Finance B.V. at that time, prior to the further implementation of the aforementioned corporate reorganization, (ii) Sono Motors Finance B.V., together with its subsidiary, as of the completion of the exchange of all ordinary shares in Sono Motors GmbH for newly issued ordinary shares in Sono Motors Finance B.V. and prior to the conversion of Sono Motors Finance B.V. into Sono Group N.V. and (iii) Sono Group N.V., together with its subsidiary, after the aforementioned corporate reorganization, in which Sono Motors Finance B.V. was converted into Sono Group N.V.</w:t>
      </w:r>
    </w:p>
    <w:p>
      <w:pPr>
        <w:spacing w:after="0" w:line="189"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Sono Group N.V. is incorporated in The Netherlands, and a majority of its outstanding securities is owned by non-U.S. residents. Under the rules of the U.S. Securities and Exchange Commission, or the SEC, Sono Group N.V. is currently eligible for treatment as a “foreign private issuer.” As a foreign private issuer, we are not required to file periodic reports and consolidated financial statements with the SEC as frequently or as promptly as domestic registrants whose securities are registered under the Securities Exchange Act of 1934, as amended (the “Exchange Act”).</w:t>
      </w:r>
    </w:p>
    <w:p>
      <w:pPr>
        <w:spacing w:after="0" w:line="182"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0"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Unless otherwise indicated, the consolidated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derived from our IFRS consolidated financial statements that are included in this prospectus may differ substantially from the results of operations and financial condition derived from consolidated financial statements prepared in accordance with U.S. GAAP. We have not prepared a reconciliation of our financial information to U.S. GAAP or a summary of significant accounting differences in the accounting and valuation methods of IFRS and U.S. GAAP nor have we otherwise reviewed the impact the application of U.S. GAAP would have on our financial reporting. Financial information in thousands or millions, and percentage figures in this prospectus, have been rounded. Rounded total and subtotal figures in tables in this prospectus may differ marginally from unrounded figures indicated elsewhere in this prospectus or in the consolidated financial statements. Moreover, rounded individual figures and percentages may not produce the exact arithmetic totals and subtotals indicated elsewhere in this prospectus.</w:t>
      </w:r>
    </w:p>
    <w:p>
      <w:pPr>
        <w:spacing w:after="0" w:line="17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this prospectus, unless otherwise indicated, some euro amounts have been translated into U.S. dollars at the rate of $0.9860 to €1.00, the official exchange rate quoted as of October 6, 2022 by the European Central Bank.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0"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Bloomberg New Energy Finance (“BloombergNEF”) and the German Federal Ministry for Economic Affairs and Energy (</w:t>
      </w:r>
      <w:r>
        <w:rPr>
          <w:rFonts w:ascii="Times New Roman" w:cs="Times New Roman" w:eastAsia="Times New Roman" w:hAnsi="Times New Roman"/>
          <w:sz w:val="18"/>
          <w:szCs w:val="18"/>
          <w:i w:val="1"/>
          <w:iCs w:val="1"/>
          <w:color w:val="auto"/>
        </w:rPr>
        <w:t>Bundesministerium für Wirtschaft und Energie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and other factors could cause results to differ materially from those expressed in our forecasts or estimates or those of independent third parties.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13" w:lineRule="exact"/>
        <w:rPr>
          <w:sz w:val="20"/>
          <w:szCs w:val="20"/>
          <w:color w:val="auto"/>
        </w:rPr>
      </w:pPr>
    </w:p>
    <w:p>
      <w:pPr>
        <w:ind w:right="20" w:firstLine="318"/>
        <w:spacing w:after="0" w:line="238" w:lineRule="auto"/>
        <w:rPr>
          <w:sz w:val="20"/>
          <w:szCs w:val="20"/>
          <w:color w:val="auto"/>
        </w:rPr>
      </w:pPr>
      <w:r>
        <w:rPr>
          <w:rFonts w:ascii="Times New Roman" w:cs="Times New Roman" w:eastAsia="Times New Roman" w:hAnsi="Times New Roman"/>
          <w:sz w:val="17"/>
          <w:szCs w:val="17"/>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w:t>
      </w:r>
    </w:p>
    <w:p>
      <w:pPr>
        <w:spacing w:after="0" w:line="195"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63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39535" cy="763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8" w:lineRule="exact"/>
        <w:rPr>
          <w:sz w:val="20"/>
          <w:szCs w:val="20"/>
          <w:color w:val="auto"/>
        </w:rPr>
      </w:pPr>
    </w:p>
    <w:p>
      <w:pPr>
        <w:ind w:left="20" w:right="2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consolidated financial statements, including the notes thereto, included elsewhere in this prospectus, before deciding to invest in our ordinary shares.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Sono Motors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Mission: Solar on Every Vehicle</w:t>
      </w:r>
    </w:p>
    <w:p>
      <w:pPr>
        <w:spacing w:after="0" w:line="222" w:lineRule="exact"/>
        <w:rPr>
          <w:sz w:val="20"/>
          <w:szCs w:val="20"/>
          <w:color w:val="auto"/>
        </w:rPr>
      </w:pPr>
    </w:p>
    <w:p>
      <w:pPr>
        <w:ind w:left="20" w:right="40" w:firstLine="318"/>
        <w:spacing w:after="0" w:line="251" w:lineRule="auto"/>
        <w:rPr>
          <w:sz w:val="20"/>
          <w:szCs w:val="20"/>
          <w:color w:val="auto"/>
        </w:rPr>
      </w:pPr>
      <w:r>
        <w:rPr>
          <w:rFonts w:ascii="Times New Roman" w:cs="Times New Roman" w:eastAsia="Times New Roman" w:hAnsi="Times New Roman"/>
          <w:sz w:val="18"/>
          <w:szCs w:val="18"/>
          <w:color w:val="auto"/>
        </w:rPr>
        <w:t>We envision a world that no longer relies on the burning of fossil fuels. Our business was founded on a shared passion for finding a solution to climate-friendly, innovative and yet affordable mobility. The goal was to develop a solar-powered, family-sized car for the mass market. To realize this goal, our founders assembled an experienced team of engineers, designers, technicians, and industry experts who spent years developing solar technology suited for mobility applications. We developed and tested several prototypes to advance and refine our technology and enlisted driver feedback to create a design that would be simultaneously functional, convenient to operate, environmentally sustainable, and affordable.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firstLine="318"/>
        <w:spacing w:after="0" w:line="253" w:lineRule="auto"/>
        <w:rPr>
          <w:sz w:val="20"/>
          <w:szCs w:val="20"/>
          <w:color w:val="auto"/>
        </w:rPr>
      </w:pPr>
      <w:r>
        <w:rPr>
          <w:rFonts w:ascii="Times New Roman" w:cs="Times New Roman" w:eastAsia="Times New Roman" w:hAnsi="Times New Roman"/>
          <w:sz w:val="18"/>
          <w:szCs w:val="18"/>
          <w:color w:val="auto"/>
        </w:rPr>
        <w:t>From this process the Sion and our proprietary solar technology were born. The Sion is a solar electric vehicle, designed with a view to be accessible to everyday consumers and to be shared. Our technology allows us to integrate solar panels into the Sion’s bodywork to capture energy from the sun and store it in the Sion’s on-board battery. We believe the Sion unlocks the potential of solar energy in a car and advances our goal of providing a net-zero-emission vehicle solution for the mass market. We seek to license and sell our proprietary solar technology in order to accelerate the transition towards sustainable transport.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2" w:lineRule="exact"/>
        <w:rPr>
          <w:sz w:val="20"/>
          <w:szCs w:val="20"/>
          <w:color w:val="auto"/>
        </w:rPr>
      </w:pPr>
    </w:p>
    <w:p>
      <w:pPr>
        <w:ind w:left="20" w:right="160" w:firstLine="318"/>
        <w:spacing w:after="0" w:line="274" w:lineRule="auto"/>
        <w:rPr>
          <w:sz w:val="20"/>
          <w:szCs w:val="20"/>
          <w:color w:val="auto"/>
        </w:rPr>
      </w:pPr>
      <w:r>
        <w:rPr>
          <w:rFonts w:ascii="Times New Roman" w:cs="Times New Roman" w:eastAsia="Times New Roman" w:hAnsi="Times New Roman"/>
          <w:sz w:val="18"/>
          <w:szCs w:val="18"/>
          <w:color w:val="auto"/>
        </w:rPr>
        <w:t>We believe we are a pioneer and technological leader in the field of solar-powered electric mobility. We intend to use our technology to create our solar and battery powered vehicle, the Sion. Our proprietary solar technology has, however, many other</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374015</wp:posOffset>
            </wp:positionV>
            <wp:extent cx="64268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568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39535" cy="756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40"/>
        <w:spacing w:after="0" w:line="260" w:lineRule="auto"/>
        <w:rPr>
          <w:sz w:val="20"/>
          <w:szCs w:val="20"/>
          <w:color w:val="auto"/>
        </w:rPr>
      </w:pPr>
      <w:r>
        <w:rPr>
          <w:rFonts w:ascii="Times New Roman" w:cs="Times New Roman" w:eastAsia="Times New Roman" w:hAnsi="Times New Roman"/>
          <w:sz w:val="18"/>
          <w:szCs w:val="18"/>
          <w:color w:val="auto"/>
        </w:rPr>
        <w:t>potential applications. We believe that our solar technology is suitable for different uses, such as buses, trucks, camper vans, trains and even boats, and has the potential to accelerate the transition towards sustainable transportation. We have successfully started to market, and are already generating limited revenues from, our proprietary solar technology.</w:t>
      </w:r>
    </w:p>
    <w:p>
      <w:pPr>
        <w:spacing w:after="0" w:line="176" w:lineRule="exact"/>
        <w:rPr>
          <w:sz w:val="20"/>
          <w:szCs w:val="20"/>
          <w:color w:val="auto"/>
        </w:rPr>
      </w:pPr>
    </w:p>
    <w:p>
      <w:pPr>
        <w:ind w:left="20" w:firstLine="318"/>
        <w:spacing w:after="0" w:line="263" w:lineRule="auto"/>
        <w:rPr>
          <w:sz w:val="20"/>
          <w:szCs w:val="20"/>
          <w:color w:val="auto"/>
        </w:rPr>
      </w:pPr>
      <w:r>
        <w:rPr>
          <w:rFonts w:ascii="Times New Roman" w:cs="Times New Roman" w:eastAsia="Times New Roman" w:hAnsi="Times New Roman"/>
          <w:sz w:val="17"/>
          <w:szCs w:val="17"/>
          <w:color w:val="auto"/>
        </w:rPr>
        <w:t>Our disruptive solar technology allows for full solar integration. In the process of developing the Sion, we soon realized that the available solar technology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and avoids the risk of bodily harm caused by broken glass. We have also developed other critical components for the use of solar technology in mobility applications. We have, through our maximum power point tracker central unit (“MCU”) solved the issue that solar cells will be mounted on different parts of the exterior, which will lead to uneven exposure to sunlight. Our technology allows for the seamless integration of solar cells into the full body of a car, such as the Sion, and the charging of its battery through the power of the sun. However, solar technology has many other potential applications, and its use cases extend far beyond passenger cars, allowing for grid-independent charging and a reduction of running costs or total costs of ownership in transport-related use cases, such as trucks, buses, recreational vehicles and boats. Fleet operators may use our technology to retrofit existing vehicles, to extend the range of battery electric vehicles (“BEVs”) or to comply with emission regulations. The transport and logistics industries in particular are very focused on total cost of ownership, and we believe our solar integration can reduce their running costs significantly. Manufacturers may also use our technology for new production vehicles. We have several patents granted or within the filing-process protecting our proprietary technology.</w:t>
      </w:r>
    </w:p>
    <w:p>
      <w:pPr>
        <w:spacing w:after="0" w:line="185" w:lineRule="exact"/>
        <w:rPr>
          <w:sz w:val="20"/>
          <w:szCs w:val="20"/>
          <w:color w:val="auto"/>
        </w:rPr>
      </w:pPr>
    </w:p>
    <w:p>
      <w:pPr>
        <w:ind w:left="20" w:right="140" w:firstLine="318"/>
        <w:spacing w:after="0" w:line="249" w:lineRule="auto"/>
        <w:rPr>
          <w:sz w:val="20"/>
          <w:szCs w:val="20"/>
          <w:color w:val="auto"/>
        </w:rPr>
      </w:pPr>
      <w:r>
        <w:rPr>
          <w:rFonts w:ascii="Times New Roman" w:cs="Times New Roman" w:eastAsia="Times New Roman" w:hAnsi="Times New Roman"/>
          <w:sz w:val="18"/>
          <w:szCs w:val="18"/>
          <w:color w:val="auto"/>
        </w:rPr>
        <w:t>Our technology will be one of the distinctive features of the Sion. It will have the ability to recharge itself using solar energy panels installed on the exterior that leverage our polymer-based solar technology. We expect that solar power will reduce the number of charging intervals and, depending on the vehicle’s usage profile, may even eliminate the need for battery charging, positioning us to benefit from a significant competitive advantage over conventional electric vehicles. The Sion’s polymer exterior significantly reduces the need for expensive metal-stamping tools and machinery costs, and the integration of solar modules into the bodywork eliminates the need for a costly paint shop, which helps us to accept reservations for the Sion locking in a comparatively low net entry price of currently €25.1 thousand. Consistent with our goal to lower CO2 emissions, each Sion will be outfitted with technology that can connect to our car- and ride-sharing networks through our proprietary hardware and software solutions. We expect that the Sion will be convenient to operate and share and comparatively affordable providing it with the potential to disrupt the market.</w:t>
      </w:r>
    </w:p>
    <w:p>
      <w:pPr>
        <w:spacing w:after="0" w:line="190" w:lineRule="exact"/>
        <w:rPr>
          <w:sz w:val="20"/>
          <w:szCs w:val="20"/>
          <w:color w:val="auto"/>
        </w:rPr>
      </w:pPr>
    </w:p>
    <w:p>
      <w:pPr>
        <w:ind w:left="20" w:right="40" w:firstLine="318"/>
        <w:spacing w:after="0" w:line="248" w:lineRule="auto"/>
        <w:rPr>
          <w:sz w:val="20"/>
          <w:szCs w:val="20"/>
          <w:color w:val="auto"/>
        </w:rPr>
      </w:pPr>
      <w:r>
        <w:rPr>
          <w:rFonts w:ascii="Times New Roman" w:cs="Times New Roman" w:eastAsia="Times New Roman" w:hAnsi="Times New Roman"/>
          <w:sz w:val="18"/>
          <w:szCs w:val="18"/>
          <w:color w:val="auto"/>
        </w:rPr>
        <w:t>To make the Sion affordable for the mass market without compromising security or quality, we do things differently and, we believe, much more efficiently and sustainably than traditional car manufacturers or other pure EV manufacturers. We believe our production and distribution strategies will enable us to reduce production complexity, maintain relatively low overhead costs and significantly reduce our capital expenditures and distribution costs, thereby positioning us to become a price-value leader compared to competitors’ offerings in the relevant car segments. We intend to produce the Sion as a one-variant-only vehicle via a third-party producer and to rely on business-to-consumer direct distribution. All Sions will have the same exterior color and vehicle features, and will rely on existing off-the-shelf component parts from established automotive suppliers, such as Vitesco Technologies Germany GmbH (a former subsidiary of Continental AG), Hella GmbH &amp; Co. KGaA and FinDreams Industry Co., Ltd., resulting in economies of scale through the partial elimination of development costs, reduced purchasing and manufacturing complexity, reduced logistical challenges and inventory costs, and lower risks associated with quality control and testing, all of which should facilitate more rapid growth of our operations. The contract manufacturer Valmet Automotive Inc. (“Valmet Automotive”) in Uusikaupunki, Finland will produce the Sion. Our goal is to offset 100% of the CO2 emissions generated by the production of the Sion and our future vehicle models, with a view to achieving full CO2 neutrality during the production cycle</w:t>
      </w:r>
      <w:r>
        <w:rPr>
          <w:rFonts w:ascii="Times New Roman" w:cs="Times New Roman" w:eastAsia="Times New Roman" w:hAnsi="Times New Roman"/>
          <w:sz w:val="18"/>
          <w:szCs w:val="18"/>
          <w:i w:val="1"/>
          <w:iCs w:val="1"/>
          <w:color w:val="auto"/>
        </w:rPr>
        <w:t>.</w:t>
      </w:r>
    </w:p>
    <w:p>
      <w:pPr>
        <w:spacing w:after="0" w:line="191" w:lineRule="exact"/>
        <w:rPr>
          <w:sz w:val="20"/>
          <w:szCs w:val="20"/>
          <w:color w:val="auto"/>
        </w:rPr>
      </w:pPr>
    </w:p>
    <w:p>
      <w:pPr>
        <w:ind w:left="20" w:right="60" w:firstLine="318"/>
        <w:spacing w:after="0" w:line="249" w:lineRule="auto"/>
        <w:rPr>
          <w:sz w:val="20"/>
          <w:szCs w:val="20"/>
          <w:color w:val="auto"/>
        </w:rPr>
      </w:pPr>
      <w:r>
        <w:rPr>
          <w:rFonts w:ascii="Times New Roman" w:cs="Times New Roman" w:eastAsia="Times New Roman" w:hAnsi="Times New Roman"/>
          <w:sz w:val="18"/>
          <w:szCs w:val="18"/>
          <w:color w:val="auto"/>
        </w:rPr>
        <w:t>Rather than relying on dealerships to sell the Sion, we intend to rely on what we consider to be an innovative and effective way to sell directly to customers through our online platform. Customers can view the Sion, book a test drive and engage and place orders directly with us. As of September 1, 2022, we had more than 20,000 reservations, more than 3,500 of which were made in 2022, with advance payments resulting in total net cash inflows of approximately €43 million from our customers. These reservations correspond to a net sales volume of approximately €435 million assuming all reservations actually result in sales. However, our customers may cancel their reservations without penalty according to our general terms and conditions, if no binding purchase agreement has been concluded by an agreed deadline, which varies. Some reservations are already cancelable as of the date of this prospectus. We intend to begin fulfilling customer reservations in the second half of 2023. See also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Any delay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production of the Sion could adversely affect us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20" w:right="240" w:firstLine="318"/>
        <w:spacing w:after="0" w:line="304" w:lineRule="auto"/>
        <w:rPr>
          <w:sz w:val="20"/>
          <w:szCs w:val="20"/>
          <w:color w:val="auto"/>
        </w:rPr>
      </w:pPr>
      <w:r>
        <w:rPr>
          <w:rFonts w:ascii="Times New Roman" w:cs="Times New Roman" w:eastAsia="Times New Roman" w:hAnsi="Times New Roman"/>
          <w:sz w:val="17"/>
          <w:szCs w:val="17"/>
          <w:color w:val="auto"/>
        </w:rPr>
        <w:t>We are already generating limited revenues from our proprietary solar technology. We have shipped prototypes and solar retrofits to customers, generating revenue of €11 thousand in the fourth quarter of 2021 and €39 thousand in the first half of 2022. As of June</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433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39535" cy="743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100"/>
        <w:spacing w:after="0" w:line="275" w:lineRule="auto"/>
        <w:rPr>
          <w:sz w:val="20"/>
          <w:szCs w:val="20"/>
          <w:color w:val="auto"/>
        </w:rPr>
      </w:pPr>
      <w:r>
        <w:rPr>
          <w:rFonts w:ascii="Times New Roman" w:cs="Times New Roman" w:eastAsia="Times New Roman" w:hAnsi="Times New Roman"/>
          <w:sz w:val="17"/>
          <w:szCs w:val="17"/>
          <w:color w:val="auto"/>
        </w:rPr>
        <w:t>30, 2022, we had a total of 10 purchase orders and 12 non-binding letters of intent. With respect to the Sion, we are still in the pre-production phase and presented the first vehicles from the third prototype generation, the Sion series validation vehicles (“SVVs”), in July 2022. In total, we are working to assemble 37 SVVs and bodies-in-white with the support of our partners thyssenkrupp Automotive Body Solutions and Bertrandt, which are located close to Sono Motors’ headquarters in Munich. Assembly of the SVVs is currently ongoing.</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available cash and cash equivalents and the expected proceeds from this offering will not be sufficient to secure our needs through</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start of production of the Sion. Assuming that we actually raise the additional funding we need, we currently plan to commence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production of the Sion in the second half of 2023. For the six months ended June 30, 2022, we had a loss for the period of</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€61.0 million, compared to a loss for the period for the six months ended June 30, 2021 of €24.4 million. For the year ended December 31,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2021, we had a loss for the period of €63.9 million, compared to a loss for the period for the year ended December 31, 2020 of €56.0</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million. We have incurred net losses since our inception in March 2016, resulting in an accumulated deficit of €208.1 million as of June 30,</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2022 compared to €147.1 million as of December 31, 2021. We believe that we will continue to incur losses and depend on external</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financing for the foreseeable future at least until we commence material deliveries of the Sion and the time when we significantly scale our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operations, including the monetization of our solar technology. We currently expect that we will need at least €242 million in external</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funding until the start of production of the Sion. In order to meet the targeted date for the start of production, we expect that we need to</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raise approximately half of the required external funding in the fourth quarter of 2022 and the remainder in 2023. We have been and are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actively considering various financing options, including registered offerings of newly issued shares and other equity securities.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more needs to be done to slow global warming and that new technologies are needed to reduce CO2 emissions.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Our Market Opportunity Related to Our Solar Technology</w:t>
      </w:r>
    </w:p>
    <w:p>
      <w:pPr>
        <w:spacing w:after="0" w:line="220" w:lineRule="exact"/>
        <w:rPr>
          <w:sz w:val="20"/>
          <w:szCs w:val="20"/>
          <w:color w:val="auto"/>
        </w:rPr>
      </w:pPr>
    </w:p>
    <w:p>
      <w:pPr>
        <w:ind w:left="20" w:right="40" w:firstLine="318"/>
        <w:spacing w:after="0" w:line="250" w:lineRule="auto"/>
        <w:rPr>
          <w:sz w:val="20"/>
          <w:szCs w:val="20"/>
          <w:color w:val="auto"/>
        </w:rPr>
      </w:pPr>
      <w:r>
        <w:rPr>
          <w:rFonts w:ascii="Times New Roman" w:cs="Times New Roman" w:eastAsia="Times New Roman" w:hAnsi="Times New Roman"/>
          <w:sz w:val="18"/>
          <w:szCs w:val="18"/>
          <w:color w:val="auto"/>
        </w:rPr>
        <w:t>For the solar application market, we believe solar integration will be the logical next step for pure electric vehicles. Solar production prices declined relatively consistently over the last ten years, with some marginal increases since the beginning of 2020 resulting partly from supply chain issues in connection with the global COVID-19 pandemic. The current solar production price as well as the increase in efficiency of solar cells enable solar integration to have a meaningful impact on ranges and autonomy of electric vehicles. Additionally, the steep increase in electric vehicle sales and the relatively slower increase in charging stations will create a bottleneck for the adoption of electric vehicles on a larger scale. We believe that even within the next few years, people living in apartments without private access to charging stations will be reluctant to buy electric vehicles due to uncertainty whether they will be able to find relevant charging options. This will put even more focus on electric vehicles with solar integration.</w:t>
      </w:r>
    </w:p>
    <w:p>
      <w:pPr>
        <w:spacing w:after="0" w:line="185" w:lineRule="exact"/>
        <w:rPr>
          <w:sz w:val="20"/>
          <w:szCs w:val="20"/>
          <w:color w:val="auto"/>
        </w:rPr>
      </w:pPr>
    </w:p>
    <w:p>
      <w:pPr>
        <w:ind w:left="20" w:right="80" w:firstLine="318"/>
        <w:spacing w:after="0" w:line="251" w:lineRule="auto"/>
        <w:rPr>
          <w:sz w:val="20"/>
          <w:szCs w:val="20"/>
          <w:color w:val="auto"/>
        </w:rPr>
      </w:pPr>
      <w:r>
        <w:rPr>
          <w:rFonts w:ascii="Times New Roman" w:cs="Times New Roman" w:eastAsia="Times New Roman" w:hAnsi="Times New Roman"/>
          <w:sz w:val="18"/>
          <w:szCs w:val="18"/>
          <w:color w:val="auto"/>
        </w:rPr>
        <w:t>In addition to using our technology in BEVs, we also believe that our solar technology is a solution to make combustion engine vehicles more climate friendly. By integrating our solar technology, fleet operators can reduce energy consumption in a variety of vehicles including, among others, buses, trailers, trucks and vans, and thereby significantly reduce the total cost of ownership. We estimate that more than half of the vehicles expected to be sold in 2030 will be suitable for solar retrofitting, including about a third that will be suitable for solar integration. We believe that this share will rise and that more than two thirds of the vehicles expected to be sold in 2040 will be suitable for solar integration.</w:t>
      </w:r>
    </w:p>
    <w:p>
      <w:pPr>
        <w:spacing w:after="0" w:line="187" w:lineRule="exact"/>
        <w:rPr>
          <w:sz w:val="20"/>
          <w:szCs w:val="20"/>
          <w:color w:val="auto"/>
        </w:rPr>
      </w:pPr>
    </w:p>
    <w:p>
      <w:pPr>
        <w:jc w:val="both"/>
        <w:ind w:left="20" w:right="160" w:firstLine="318"/>
        <w:spacing w:after="0" w:line="260" w:lineRule="auto"/>
        <w:rPr>
          <w:sz w:val="20"/>
          <w:szCs w:val="20"/>
          <w:color w:val="auto"/>
        </w:rPr>
      </w:pPr>
      <w:r>
        <w:rPr>
          <w:rFonts w:ascii="Times New Roman" w:cs="Times New Roman" w:eastAsia="Times New Roman" w:hAnsi="Times New Roman"/>
          <w:sz w:val="18"/>
          <w:szCs w:val="18"/>
          <w:color w:val="auto"/>
        </w:rPr>
        <w:t>Other users, such as building owners, already see the power of solar integration to reduce energy consumption and, accordingly, total cost of ownership. As more means of transport, including ships, trucks, vans and buses, switch over the coming years to electric engines, the benefit of solar integration will, we believe, become increasingly clear and important to market participants.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Our Market Opportunity Related to the Sion</w:t>
      </w:r>
    </w:p>
    <w:p>
      <w:pPr>
        <w:spacing w:after="0" w:line="220" w:lineRule="exact"/>
        <w:rPr>
          <w:sz w:val="20"/>
          <w:szCs w:val="20"/>
          <w:color w:val="auto"/>
        </w:rPr>
      </w:pPr>
    </w:p>
    <w:p>
      <w:pPr>
        <w:ind w:left="20" w:firstLine="318"/>
        <w:spacing w:after="0" w:line="250" w:lineRule="auto"/>
        <w:rPr>
          <w:sz w:val="20"/>
          <w:szCs w:val="20"/>
          <w:color w:val="auto"/>
        </w:rPr>
      </w:pPr>
      <w:r>
        <w:rPr>
          <w:rFonts w:ascii="Times New Roman" w:cs="Times New Roman" w:eastAsia="Times New Roman" w:hAnsi="Times New Roman"/>
          <w:sz w:val="18"/>
          <w:szCs w:val="18"/>
          <w:color w:val="auto"/>
        </w:rPr>
        <w:t>We believe that political and regulatory pressure to reduce CO2 emissions will lead to lower demand for combustion engines and will increase demand for new technologies, such as BEVs. According to BloombergNEF, by 2025, plug-in vehicles, which includes hybrid vehicles and fully electric vehicles, are expected to represent 23% of new passenger vehicle sales globally, up from just under 10% in 2021. The share of sales of electric vehicles in some markets is expected to be much higher, with electric vehicles expected to reach 39% of sales in 2025 in China and in Europe. Some of the major European car markets may even adopt electric vehicles faster, with electric vehicles expected to account for 40% to 50% of new passenger vehicle sales in Germany, the UK and France. The forecast acceleration in electric vehicle adoption means that combustion vehicle sales are expected to have peaked globally in 2017 and will show a declining trend. By 2025, sales of passenger vehicles with internal combustion engines are expected to be 19% below</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6810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9535" cy="681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200"/>
        <w:spacing w:after="0" w:line="253" w:lineRule="auto"/>
        <w:rPr>
          <w:sz w:val="20"/>
          <w:szCs w:val="20"/>
          <w:color w:val="auto"/>
        </w:rPr>
      </w:pPr>
      <w:r>
        <w:rPr>
          <w:rFonts w:ascii="Times New Roman" w:cs="Times New Roman" w:eastAsia="Times New Roman" w:hAnsi="Times New Roman"/>
          <w:sz w:val="18"/>
          <w:szCs w:val="18"/>
          <w:color w:val="auto"/>
        </w:rPr>
        <w:t>the sales in 2017. Furthermore, global sales of commercial electric vans and trucks more than doubled in 2021. Most of these are lighter vehicles, where the market is forecast to turn electric quickly in the 2020s. Electric commercial vehicles are expected to reach cost parity with diesel commercial vehicles within the 2020s in most market segments. Battery vans and lighter trucks are already gaining market share and by 2030 are expected to account for just under a third of the market. Global electric vehicle sales shares in these segments are expected to reach 60% by 2040, while exceeding 75% in several countries.</w:t>
      </w:r>
    </w:p>
    <w:p>
      <w:pPr>
        <w:spacing w:after="0" w:line="182" w:lineRule="exact"/>
        <w:rPr>
          <w:sz w:val="20"/>
          <w:szCs w:val="20"/>
          <w:color w:val="auto"/>
        </w:rPr>
      </w:pPr>
    </w:p>
    <w:p>
      <w:pPr>
        <w:ind w:left="20" w:right="120" w:firstLine="318"/>
        <w:spacing w:after="0" w:line="260" w:lineRule="auto"/>
        <w:rPr>
          <w:sz w:val="20"/>
          <w:szCs w:val="20"/>
          <w:color w:val="auto"/>
        </w:rPr>
      </w:pPr>
      <w:r>
        <w:rPr>
          <w:rFonts w:ascii="Times New Roman" w:cs="Times New Roman" w:eastAsia="Times New Roman" w:hAnsi="Times New Roman"/>
          <w:sz w:val="18"/>
          <w:szCs w:val="18"/>
          <w:color w:val="auto"/>
        </w:rPr>
        <w:t>Several fundamental trends are expected to drive this increase, including increasing awareness concerning environmental matters and sustainable energy, urbanization and more stringent emissions regulations. Technological innovation, such as more efficient ways to produce batteries, longer battery lifetime and breakthroughs in solar technology are expected to enable mass market adoption.</w:t>
      </w:r>
    </w:p>
    <w:p>
      <w:pPr>
        <w:spacing w:after="0" w:line="176" w:lineRule="exact"/>
        <w:rPr>
          <w:sz w:val="20"/>
          <w:szCs w:val="20"/>
          <w:color w:val="auto"/>
        </w:rPr>
      </w:pPr>
    </w:p>
    <w:p>
      <w:pPr>
        <w:ind w:left="20" w:firstLine="318"/>
        <w:spacing w:after="0" w:line="250" w:lineRule="auto"/>
        <w:rPr>
          <w:sz w:val="20"/>
          <w:szCs w:val="20"/>
          <w:color w:val="auto"/>
        </w:rPr>
      </w:pPr>
      <w:r>
        <w:rPr>
          <w:rFonts w:ascii="Times New Roman" w:cs="Times New Roman" w:eastAsia="Times New Roman" w:hAnsi="Times New Roman"/>
          <w:sz w:val="18"/>
          <w:szCs w:val="18"/>
          <w:color w:val="auto"/>
        </w:rPr>
        <w:t>Many governments provide consumer incentives for electric vehicle purchases as part of economic stimulus programs. In Germany, for example, purchase-price subsidies for new electric vehicles priced below €40,000 from the German state currently amount to €6,000 per vehicle. A recent proposal envisaged to reduce these purchase-price subsidies to €4,500 per vehicle in 2023 and to €3,000 per vehicle in 2024. Since January 1, 2021, European Union (“EU”) regulations impose their most stringent ever CO2 emission limits on all new passenger cars registered in the EU. We believe we are well positioned with the Sion to benefit from these market opportunities as we intend to offer net-zero-emissions solar-powered electric mobility to the mass market at a comparatively affordable price. The following graphic summarizes what we believe to be growth catalysts and enablers for energy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Source: National Geographic; ICCT (International Council on Clean Transportation); Battery 2030+ Roadmap.</w:t>
      </w:r>
    </w:p>
    <w:p>
      <w:pPr>
        <w:spacing w:after="0" w:line="218" w:lineRule="exact"/>
        <w:rPr>
          <w:sz w:val="20"/>
          <w:szCs w:val="20"/>
          <w:color w:val="auto"/>
        </w:rPr>
      </w:pPr>
    </w:p>
    <w:p>
      <w:pPr>
        <w:ind w:left="340" w:hanging="320"/>
        <w:spacing w:after="0"/>
        <w:tabs>
          <w:tab w:leader="none" w:pos="34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International Electric-Vehicle Consumer Survey, AlixPartners (October 2019).</w:t>
      </w:r>
    </w:p>
    <w:p>
      <w:pPr>
        <w:spacing w:after="0" w:line="217" w:lineRule="exact"/>
        <w:rPr>
          <w:rFonts w:ascii="Times New Roman" w:cs="Times New Roman" w:eastAsia="Times New Roman" w:hAnsi="Times New Roman"/>
          <w:sz w:val="18"/>
          <w:szCs w:val="18"/>
          <w:color w:val="231F20"/>
        </w:rPr>
      </w:pPr>
    </w:p>
    <w:p>
      <w:pPr>
        <w:ind w:left="340" w:hanging="320"/>
        <w:spacing w:after="0"/>
        <w:tabs>
          <w:tab w:leader="none" w:pos="34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 — Department of Economic and Social Affairs (May 2018).</w:t>
      </w:r>
    </w:p>
    <w:p>
      <w:pPr>
        <w:spacing w:after="0" w:line="217" w:lineRule="exact"/>
        <w:rPr>
          <w:rFonts w:ascii="Times New Roman" w:cs="Times New Roman" w:eastAsia="Times New Roman" w:hAnsi="Times New Roman"/>
          <w:sz w:val="18"/>
          <w:szCs w:val="18"/>
          <w:color w:val="231F20"/>
        </w:rPr>
      </w:pPr>
    </w:p>
    <w:p>
      <w:pPr>
        <w:ind w:left="340" w:hanging="320"/>
        <w:spacing w:after="0"/>
        <w:tabs>
          <w:tab w:leader="none" w:pos="34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Compared to 2021.</w:t>
      </w:r>
    </w:p>
    <w:p>
      <w:pPr>
        <w:spacing w:after="0" w:line="217" w:lineRule="exact"/>
        <w:rPr>
          <w:rFonts w:ascii="Times New Roman" w:cs="Times New Roman" w:eastAsia="Times New Roman" w:hAnsi="Times New Roman"/>
          <w:sz w:val="18"/>
          <w:szCs w:val="18"/>
          <w:color w:val="231F20"/>
        </w:rPr>
      </w:pPr>
    </w:p>
    <w:p>
      <w:pPr>
        <w:ind w:left="340" w:hanging="320"/>
        <w:spacing w:after="0"/>
        <w:tabs>
          <w:tab w:leader="none" w:pos="34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of April 2020.</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6894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39535" cy="689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Products Offered by Market Incumbents</w:t>
      </w:r>
    </w:p>
    <w:p>
      <w:pPr>
        <w:spacing w:after="0" w:line="222" w:lineRule="exact"/>
        <w:rPr>
          <w:sz w:val="20"/>
          <w:szCs w:val="20"/>
          <w:color w:val="auto"/>
        </w:rPr>
      </w:pPr>
    </w:p>
    <w:p>
      <w:pPr>
        <w:ind w:left="20" w:right="340" w:firstLine="318"/>
        <w:spacing w:after="0" w:line="274" w:lineRule="auto"/>
        <w:rPr>
          <w:sz w:val="20"/>
          <w:szCs w:val="20"/>
          <w:color w:val="auto"/>
        </w:rPr>
      </w:pPr>
      <w:r>
        <w:rPr>
          <w:rFonts w:ascii="Times New Roman" w:cs="Times New Roman" w:eastAsia="Times New Roman" w:hAnsi="Times New Roman"/>
          <w:sz w:val="18"/>
          <w:szCs w:val="18"/>
          <w:color w:val="auto"/>
        </w:rPr>
        <w:t>We believe that the products offered by many of the incumbent manufacturers suffer from the following limitations, do not reflect current and projected trends in consumer demand or ignore recent developments in solar technologies.</w:t>
      </w:r>
    </w:p>
    <w:p>
      <w:pPr>
        <w:spacing w:after="0" w:line="160" w:lineRule="exact"/>
        <w:rPr>
          <w:sz w:val="20"/>
          <w:szCs w:val="20"/>
          <w:color w:val="auto"/>
        </w:rPr>
      </w:pPr>
    </w:p>
    <w:p>
      <w:pPr>
        <w:jc w:val="both"/>
        <w:ind w:left="680" w:right="240" w:hanging="315"/>
        <w:spacing w:after="0" w:line="285" w:lineRule="auto"/>
        <w:tabs>
          <w:tab w:leader="none" w:pos="680"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Lack of innovative solutions from traditional players: </w:t>
      </w:r>
      <w:r>
        <w:rPr>
          <w:rFonts w:ascii="Times New Roman" w:cs="Times New Roman" w:eastAsia="Times New Roman" w:hAnsi="Times New Roman"/>
          <w:sz w:val="17"/>
          <w:szCs w:val="17"/>
          <w:color w:val="231F20"/>
        </w:rPr>
        <w:t>Traditional car, truck or bus makers typically do not develop a new car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from scratch, but rather refine and improve their existing models and technologies. We believe that this approach has hindered fundamental innovation, which can only be achieved in an efficient and sustainable manner if old structures are discarded.</w:t>
      </w:r>
    </w:p>
    <w:p>
      <w:pPr>
        <w:spacing w:after="0" w:line="152" w:lineRule="exact"/>
        <w:rPr>
          <w:rFonts w:ascii="Times New Roman" w:cs="Times New Roman" w:eastAsia="Times New Roman" w:hAnsi="Times New Roman"/>
          <w:sz w:val="17"/>
          <w:szCs w:val="17"/>
          <w:color w:val="231F20"/>
        </w:rPr>
      </w:pPr>
    </w:p>
    <w:p>
      <w:pPr>
        <w:ind w:left="680" w:right="440" w:hanging="315"/>
        <w:spacing w:after="0" w:line="257" w:lineRule="auto"/>
        <w:tabs>
          <w:tab w:leader="none" w:pos="6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Global warming and reduction of CO2 emissions: </w:t>
      </w:r>
      <w:r>
        <w:rPr>
          <w:rFonts w:ascii="Times New Roman" w:cs="Times New Roman" w:eastAsia="Times New Roman" w:hAnsi="Times New Roman"/>
          <w:sz w:val="18"/>
          <w:szCs w:val="18"/>
          <w:color w:val="231F20"/>
        </w:rPr>
        <w:t>Cars, trucks, buses and boats with internal combustion engines are a</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significant contributor to total CO2 emissions, the main greenhouse gas that contributes to global warming. We believe that climate-friendly and affordable electric mobility is critical for achieving sustainable mobility and an attractive customer proposition.</w:t>
      </w:r>
    </w:p>
    <w:p>
      <w:pPr>
        <w:spacing w:after="0" w:line="174" w:lineRule="exact"/>
        <w:rPr>
          <w:rFonts w:ascii="Times New Roman" w:cs="Times New Roman" w:eastAsia="Times New Roman" w:hAnsi="Times New Roman"/>
          <w:sz w:val="18"/>
          <w:szCs w:val="18"/>
          <w:color w:val="231F20"/>
        </w:rPr>
      </w:pPr>
    </w:p>
    <w:p>
      <w:pPr>
        <w:jc w:val="both"/>
        <w:ind w:left="680" w:right="300" w:hanging="315"/>
        <w:spacing w:after="0" w:line="262" w:lineRule="auto"/>
        <w:tabs>
          <w:tab w:leader="none" w:pos="6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Increasing demand for mobility solutions and resource conservation: </w:t>
      </w:r>
      <w:r>
        <w:rPr>
          <w:rFonts w:ascii="Times New Roman" w:cs="Times New Roman" w:eastAsia="Times New Roman" w:hAnsi="Times New Roman"/>
          <w:sz w:val="18"/>
          <w:szCs w:val="18"/>
          <w:color w:val="231F20"/>
        </w:rPr>
        <w:t>The world’s population continues to grow. Providing</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mobility solutions to an increasing population in light of the world’s limited resources requires sustainable mobility concepts, such as easily accessible car-sharing and ride- pooling solutions.</w:t>
      </w:r>
    </w:p>
    <w:p>
      <w:pPr>
        <w:spacing w:after="0" w:line="171" w:lineRule="exact"/>
        <w:rPr>
          <w:rFonts w:ascii="Times New Roman" w:cs="Times New Roman" w:eastAsia="Times New Roman" w:hAnsi="Times New Roman"/>
          <w:sz w:val="18"/>
          <w:szCs w:val="18"/>
          <w:color w:val="231F20"/>
        </w:rPr>
      </w:pPr>
    </w:p>
    <w:p>
      <w:pPr>
        <w:ind w:left="680" w:right="160" w:hanging="315"/>
        <w:spacing w:after="0" w:line="262" w:lineRule="auto"/>
        <w:tabs>
          <w:tab w:leader="none" w:pos="6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High energy prices: </w:t>
      </w:r>
      <w:r>
        <w:rPr>
          <w:rFonts w:ascii="Times New Roman" w:cs="Times New Roman" w:eastAsia="Times New Roman" w:hAnsi="Times New Roman"/>
          <w:sz w:val="18"/>
          <w:szCs w:val="18"/>
          <w:color w:val="231F20"/>
        </w:rPr>
        <w:t>As a result of the Russo-Ukrainian war, energy prices have risen sharply. The majority of the electricity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produced in Germany is based on non-renewable energy, including coal and gas. Accordingly, the price for electricity increased significantly in 2022 and there is concern about energy supply shortages.</w:t>
      </w:r>
    </w:p>
    <w:p>
      <w:pPr>
        <w:spacing w:after="0" w:line="171" w:lineRule="exact"/>
        <w:rPr>
          <w:rFonts w:ascii="Times New Roman" w:cs="Times New Roman" w:eastAsia="Times New Roman" w:hAnsi="Times New Roman"/>
          <w:sz w:val="18"/>
          <w:szCs w:val="18"/>
          <w:color w:val="231F20"/>
        </w:rPr>
      </w:pPr>
    </w:p>
    <w:p>
      <w:pPr>
        <w:ind w:left="680" w:right="80" w:hanging="315"/>
        <w:spacing w:after="0" w:line="257" w:lineRule="auto"/>
        <w:tabs>
          <w:tab w:leader="none" w:pos="6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Lack of sufficient charging infrastructure: </w:t>
      </w:r>
      <w:r>
        <w:rPr>
          <w:rFonts w:ascii="Times New Roman" w:cs="Times New Roman" w:eastAsia="Times New Roman" w:hAnsi="Times New Roman"/>
          <w:sz w:val="18"/>
          <w:szCs w:val="18"/>
          <w:color w:val="231F20"/>
        </w:rPr>
        <w:t>Existing BEVs depend heavily on a limited number of charging stations. Many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traditional carmakers believe the main solution to decreasing the dependency on charging infrastructure is to increase expensive battery capacity. Bigger batteries significantly increase both the price and the weight of the respective vehicle. As a result, BEVs either do not fulfill customers’ desires for sufficient range or become too expensive for the mass market.</w:t>
      </w:r>
    </w:p>
    <w:p>
      <w:pPr>
        <w:spacing w:after="0" w:line="174" w:lineRule="exact"/>
        <w:rPr>
          <w:rFonts w:ascii="Times New Roman" w:cs="Times New Roman" w:eastAsia="Times New Roman" w:hAnsi="Times New Roman"/>
          <w:sz w:val="18"/>
          <w:szCs w:val="18"/>
          <w:color w:val="231F20"/>
        </w:rPr>
      </w:pPr>
    </w:p>
    <w:p>
      <w:pPr>
        <w:ind w:left="680" w:hanging="315"/>
        <w:spacing w:after="0" w:line="252" w:lineRule="auto"/>
        <w:tabs>
          <w:tab w:leader="none" w:pos="6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Insufficient adaptation of solar technology for mobility use cases: </w:t>
      </w:r>
      <w:r>
        <w:rPr>
          <w:rFonts w:ascii="Times New Roman" w:cs="Times New Roman" w:eastAsia="Times New Roman" w:hAnsi="Times New Roman"/>
          <w:sz w:val="18"/>
          <w:szCs w:val="18"/>
          <w:color w:val="231F20"/>
        </w:rPr>
        <w:t>Generally, the available solar technology is not well-suited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for mobility applications. Traditional solar technology relies on glass to cover the solar cells. Glass is, however, heavy, relatively inflexible, expensive and dangerous in crash situations. There is a lack of readily available technology that efficiently controls the interconnection between solar panels mounted on non-flat surfaces so that the impact angles of the sun’s rays differ. For commercial vehicles, no relevant solar integration solution exists that would allow vehicle operators to reduce their costs of ownership.</w:t>
      </w:r>
    </w:p>
    <w:p>
      <w:pPr>
        <w:spacing w:after="0" w:line="181" w:lineRule="exact"/>
        <w:rPr>
          <w:rFonts w:ascii="Times New Roman" w:cs="Times New Roman" w:eastAsia="Times New Roman" w:hAnsi="Times New Roman"/>
          <w:sz w:val="18"/>
          <w:szCs w:val="18"/>
          <w:color w:val="231F20"/>
        </w:rPr>
      </w:pPr>
    </w:p>
    <w:p>
      <w:pPr>
        <w:ind w:left="680" w:right="280" w:hanging="315"/>
        <w:spacing w:after="0" w:line="257" w:lineRule="auto"/>
        <w:tabs>
          <w:tab w:leader="none" w:pos="6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Limited affordability of clean mobility technologies: </w:t>
      </w:r>
      <w:r>
        <w:rPr>
          <w:rFonts w:ascii="Times New Roman" w:cs="Times New Roman" w:eastAsia="Times New Roman" w:hAnsi="Times New Roman"/>
          <w:sz w:val="18"/>
          <w:szCs w:val="18"/>
          <w:color w:val="231F20"/>
        </w:rPr>
        <w:t>Alternative and environmentally friendly mobility technologies have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historically been expensive and are not ready for the mass market. In the case of electric vehicles, this is primarily due to high battery prices and immature charging infrastructures in many markets. We want to be the first company to offer an affordable, practical, electric family vehicle with solar-recharge capabilities for the mass market.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222" w:lineRule="exact"/>
        <w:rPr>
          <w:sz w:val="20"/>
          <w:szCs w:val="20"/>
          <w:color w:val="auto"/>
        </w:rPr>
      </w:pPr>
    </w:p>
    <w:p>
      <w:pPr>
        <w:ind w:left="20" w:right="160" w:firstLine="318"/>
        <w:spacing w:after="0" w:line="255" w:lineRule="auto"/>
        <w:rPr>
          <w:sz w:val="20"/>
          <w:szCs w:val="20"/>
          <w:color w:val="auto"/>
        </w:rPr>
      </w:pPr>
      <w:r>
        <w:rPr>
          <w:rFonts w:ascii="Times New Roman" w:cs="Times New Roman" w:eastAsia="Times New Roman" w:hAnsi="Times New Roman"/>
          <w:sz w:val="18"/>
          <w:szCs w:val="18"/>
          <w:color w:val="auto"/>
        </w:rPr>
        <w:t>We believe we are well positioned to address current market dislocations and to capture demand from consumers who desire a convenient and affordable car ownership experience and from manufacturers who seek access to disruptive solar technology for mobility applications. Our solar technology is well-suited to provide benefits to most means of powered transport, especially new electric alternatives.</w:t>
      </w:r>
    </w:p>
    <w:p>
      <w:pPr>
        <w:spacing w:after="0" w:line="178" w:lineRule="exact"/>
        <w:rPr>
          <w:sz w:val="20"/>
          <w:szCs w:val="20"/>
          <w:color w:val="auto"/>
        </w:rPr>
      </w:pPr>
    </w:p>
    <w:p>
      <w:pPr>
        <w:ind w:left="680" w:right="40" w:hanging="315"/>
        <w:spacing w:after="0" w:line="257" w:lineRule="auto"/>
        <w:tabs>
          <w:tab w:leader="none" w:pos="6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Innovative clean technology solutions: </w:t>
      </w:r>
      <w:r>
        <w:rPr>
          <w:rFonts w:ascii="Times New Roman" w:cs="Times New Roman" w:eastAsia="Times New Roman" w:hAnsi="Times New Roman"/>
          <w:sz w:val="18"/>
          <w:szCs w:val="18"/>
          <w:color w:val="231F20"/>
        </w:rPr>
        <w:t>We believe we are a technological leader in solar-powered electric mobility. We consider</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ourselves to be the first company to develop a sophisticated concept for the full integration of polymer solar modules in a vehicle’s exterior. These polymer solar modules eliminate the need for heavy glass in a solar panel and allow for more flexibility. In addition, we </w:t>
      </w:r>
      <w:r>
        <w:rPr>
          <w:rFonts w:ascii="Times New Roman" w:cs="Times New Roman" w:eastAsia="Times New Roman" w:hAnsi="Times New Roman"/>
          <w:sz w:val="18"/>
          <w:szCs w:val="18"/>
          <w:color w:val="000000"/>
        </w:rPr>
        <w:t>have developed various other innovative technological solutions, including solutions for</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450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9535" cy="745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80" w:right="200"/>
        <w:spacing w:after="0" w:line="274" w:lineRule="auto"/>
        <w:rPr>
          <w:sz w:val="20"/>
          <w:szCs w:val="20"/>
          <w:color w:val="auto"/>
        </w:rPr>
      </w:pPr>
      <w:r>
        <w:rPr>
          <w:rFonts w:ascii="Times New Roman" w:cs="Times New Roman" w:eastAsia="Times New Roman" w:hAnsi="Times New Roman"/>
          <w:sz w:val="18"/>
          <w:szCs w:val="18"/>
          <w:color w:val="auto"/>
        </w:rPr>
        <w:t>bidirectional charging, car-sharing and ride-pooling. We intend to include these technologies in the Sion, but will also monetize them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80" w:hanging="315"/>
        <w:spacing w:after="0" w:line="249" w:lineRule="auto"/>
        <w:tabs>
          <w:tab w:leader="none" w:pos="68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Suitable for everyday use: </w:t>
      </w:r>
      <w:r>
        <w:rPr>
          <w:rFonts w:ascii="Times New Roman" w:cs="Times New Roman" w:eastAsia="Times New Roman" w:hAnsi="Times New Roman"/>
          <w:sz w:val="18"/>
          <w:szCs w:val="18"/>
          <w:color w:val="231F20"/>
        </w:rPr>
        <w:t>We have designed the Sion as a family vehicle based on an intelligent use- of-space concept. In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developing the Sion, we have centered the design around our polymer-based solar technology. Based on our current development targets, the Sion is expected to have an electric battery range based on the worldwide harmonized light vehicles test procedure (“WLTP”) standard of up to 305 kilometers, or 190 miles. The seamlessly integrated solar modules are expected to provide additional range at no cost from sunlight and significantly reduce dependency on charging infrastructures, potentially allowing customers to save money on private charging stations or reduce their dependence on public charging infrastructure. We believe the reduction of external charging cycles compared to ordinary BEVs, together with the Sion’s comparatively low entry price, will make the Sion suitable for the mass market and everyday use and an especially attractive option for urban commuters and mid-low income families. All expected battery ranges for the Sion included in this prospectus are based on the WLTP. The WLTP methodology differs from the US EPA’s testing methodology, which typically has lower ranges than those determined using the WLTP standard.</w:t>
      </w:r>
    </w:p>
    <w:p>
      <w:pPr>
        <w:spacing w:after="0" w:line="184" w:lineRule="exact"/>
        <w:rPr>
          <w:rFonts w:ascii="Times New Roman" w:cs="Times New Roman" w:eastAsia="Times New Roman" w:hAnsi="Times New Roman"/>
          <w:sz w:val="18"/>
          <w:szCs w:val="18"/>
          <w:color w:val="231F20"/>
        </w:rPr>
      </w:pPr>
    </w:p>
    <w:p>
      <w:pPr>
        <w:ind w:left="680" w:right="40" w:hanging="315"/>
        <w:spacing w:after="0" w:line="251" w:lineRule="auto"/>
        <w:tabs>
          <w:tab w:leader="none" w:pos="68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Affordable for average consumers: </w:t>
      </w:r>
      <w:r>
        <w:rPr>
          <w:rFonts w:ascii="Times New Roman" w:cs="Times New Roman" w:eastAsia="Times New Roman" w:hAnsi="Times New Roman"/>
          <w:sz w:val="18"/>
          <w:szCs w:val="18"/>
          <w:color w:val="231F20"/>
        </w:rPr>
        <w:t>We are currently accepting reservations for the Sion locking in a comparatively low net entry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price of €25.1 thousand. We expect that this price positions us to become the price-value leader in the relevant car segment based on total costs of ownership calculations performed by the German automobile club and by us. We believe that the ownership cost advantage, together with the Sion’s lower dependency on public or private charging infrastructures compared to normal BEVs, will provide the Sion with a competitive edge. Our competitors’ electric vehicles that are currently available, and that are expected to be launched in the relevant car segments in the near future, are expected to be significantly more expensive to purchase and operate than the Sion.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703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9535" cy="770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0" w:right="60" w:hanging="315"/>
        <w:spacing w:after="0" w:line="257" w:lineRule="auto"/>
        <w:tabs>
          <w:tab w:leader="none" w:pos="6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Powered by the sun: </w:t>
      </w:r>
      <w:r>
        <w:rPr>
          <w:rFonts w:ascii="Times New Roman" w:cs="Times New Roman" w:eastAsia="Times New Roman" w:hAnsi="Times New Roman"/>
          <w:sz w:val="18"/>
          <w:szCs w:val="18"/>
          <w:color w:val="231F20"/>
        </w:rPr>
        <w:t>The Sion is able to charge itself using the power of the sun, which can add to the driving range of the car’s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battery, making it less dependent on the availability and price of electricity. We believe that solar power will also make the Sion a more environmentally sustainable product than pure BEVs, as the Sion is less dependent on electricity from the “grid,” which includes electricity produced from coal and gas or nuclear energy.</w:t>
      </w:r>
    </w:p>
    <w:p>
      <w:pPr>
        <w:spacing w:after="0" w:line="174" w:lineRule="exact"/>
        <w:rPr>
          <w:rFonts w:ascii="Times New Roman" w:cs="Times New Roman" w:eastAsia="Times New Roman" w:hAnsi="Times New Roman"/>
          <w:sz w:val="18"/>
          <w:szCs w:val="18"/>
          <w:color w:val="231F20"/>
        </w:rPr>
      </w:pPr>
    </w:p>
    <w:p>
      <w:pPr>
        <w:ind w:left="680" w:right="160" w:hanging="315"/>
        <w:spacing w:after="0" w:line="262" w:lineRule="auto"/>
        <w:tabs>
          <w:tab w:leader="none" w:pos="6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Heightened independence: </w:t>
      </w:r>
      <w:r>
        <w:rPr>
          <w:rFonts w:ascii="Times New Roman" w:cs="Times New Roman" w:eastAsia="Times New Roman" w:hAnsi="Times New Roman"/>
          <w:sz w:val="18"/>
          <w:szCs w:val="18"/>
          <w:color w:val="231F20"/>
        </w:rPr>
        <w:t>Power generated from the sun will decrease the dependence on charging infrastructure and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number of charging intervals. Depending on the vehicle’s usage profile, solar power may even eliminate the need for grid-based battery charging and may allow for the use of batteries with less capacity than in traditional BEVs.</w:t>
      </w:r>
    </w:p>
    <w:p>
      <w:pPr>
        <w:spacing w:after="0" w:line="171" w:lineRule="exact"/>
        <w:rPr>
          <w:rFonts w:ascii="Times New Roman" w:cs="Times New Roman" w:eastAsia="Times New Roman" w:hAnsi="Times New Roman"/>
          <w:sz w:val="18"/>
          <w:szCs w:val="18"/>
          <w:color w:val="231F20"/>
        </w:rPr>
      </w:pPr>
    </w:p>
    <w:p>
      <w:pPr>
        <w:ind w:left="680" w:hanging="315"/>
        <w:spacing w:after="0" w:line="252" w:lineRule="auto"/>
        <w:tabs>
          <w:tab w:leader="none" w:pos="6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Disruptive solar technology: </w:t>
      </w:r>
      <w:r>
        <w:rPr>
          <w:rFonts w:ascii="Times New Roman" w:cs="Times New Roman" w:eastAsia="Times New Roman" w:hAnsi="Times New Roman"/>
          <w:sz w:val="18"/>
          <w:szCs w:val="18"/>
          <w:color w:val="231F20"/>
        </w:rPr>
        <w:t>Our polymer technology has been developed for car and transport applications. It is lightweight,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allows for flexible surface integration via our patented injection molding process, is affordable due to fast and lean production and avoids the risk of bodily harm caused by broken glass. We have also developed other critical components for the use of solar technology in mobility applications. We have, through our power electronics, solved the issue that solar cells will be mounted on different parts of the exterior, which will lead to inhomogeneous exposure to sunlight. Our software visualizes the solar yield of the different parts of the Sion.</w:t>
      </w:r>
    </w:p>
    <w:p>
      <w:pPr>
        <w:spacing w:after="0" w:line="181" w:lineRule="exact"/>
        <w:rPr>
          <w:rFonts w:ascii="Times New Roman" w:cs="Times New Roman" w:eastAsia="Times New Roman" w:hAnsi="Times New Roman"/>
          <w:sz w:val="18"/>
          <w:szCs w:val="18"/>
          <w:color w:val="231F20"/>
        </w:rPr>
      </w:pPr>
    </w:p>
    <w:p>
      <w:pPr>
        <w:ind w:left="680" w:right="60" w:hanging="315"/>
        <w:spacing w:after="0" w:line="252" w:lineRule="auto"/>
        <w:tabs>
          <w:tab w:leader="none" w:pos="6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Sustainable and responsible mobility: </w:t>
      </w:r>
      <w:r>
        <w:rPr>
          <w:rFonts w:ascii="Times New Roman" w:cs="Times New Roman" w:eastAsia="Times New Roman" w:hAnsi="Times New Roman"/>
          <w:sz w:val="18"/>
          <w:szCs w:val="18"/>
          <w:color w:val="231F20"/>
        </w:rPr>
        <w:t>The operation of the Sion itself will not emit any CO2 or other greenhouse gases and will</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align with our vision of sustainable and responsible electric mobility. We expect that operation of the first generation of the Sion (including facelifts), which we currently estimate to be 257,000 vehicles, will save millions of tons of CO2 compared to the operation of internal combustion engine cars and taking into account expected car sharing. We currently expect that all production-related greenhouse gas emissions that cannot be avoided or reduced along our supply chain and during the production process of the Sion will be fully neutralized through relevant offsetting measures.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Strengths</w:t>
      </w:r>
    </w:p>
    <w:p>
      <w:pPr>
        <w:spacing w:after="0" w:line="222" w:lineRule="exact"/>
        <w:rPr>
          <w:sz w:val="20"/>
          <w:szCs w:val="20"/>
          <w:color w:val="auto"/>
        </w:rPr>
      </w:pPr>
    </w:p>
    <w:p>
      <w:pPr>
        <w:ind w:left="20" w:right="580" w:firstLine="318"/>
        <w:spacing w:after="0" w:line="274" w:lineRule="auto"/>
        <w:rPr>
          <w:sz w:val="20"/>
          <w:szCs w:val="20"/>
          <w:color w:val="auto"/>
        </w:rPr>
      </w:pPr>
      <w:r>
        <w:rPr>
          <w:rFonts w:ascii="Times New Roman" w:cs="Times New Roman" w:eastAsia="Times New Roman" w:hAnsi="Times New Roman"/>
          <w:sz w:val="18"/>
          <w:szCs w:val="18"/>
          <w:color w:val="auto"/>
        </w:rPr>
        <w:t>We believe the following combination of strengths, capabilities and features of our business model will distinguish us from our competitors and position us to successfully tap into the market for sun-powered mobility solutions.</w:t>
      </w:r>
    </w:p>
    <w:p>
      <w:pPr>
        <w:spacing w:after="0" w:line="160" w:lineRule="exact"/>
        <w:rPr>
          <w:sz w:val="20"/>
          <w:szCs w:val="20"/>
          <w:color w:val="auto"/>
        </w:rPr>
      </w:pPr>
    </w:p>
    <w:p>
      <w:pPr>
        <w:ind w:left="20" w:right="20"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Proprietary technology aimed at harnessing solar energy: </w:t>
      </w:r>
      <w:r>
        <w:rPr>
          <w:rFonts w:ascii="Times New Roman" w:cs="Times New Roman" w:eastAsia="Times New Roman" w:hAnsi="Times New Roman"/>
          <w:sz w:val="18"/>
          <w:szCs w:val="18"/>
          <w:color w:val="auto"/>
        </w:rPr>
        <w:t>Finding solutions that allow for the efficient use of solar power in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requires departing from traditional solutions and approaches. Solar cells are typically inflexible and developed for flat surfaces that have the same exposure to sunlight, such as rooftops. Through a multi-year development and testing process, our solar experts and automotive engineers developed an injection molding technology, which is, or is expected to be covered by our various patents. This technology embeds solar cells in polymer instead of glass, making the modules more flexible, lighter, less expensive, and more efficient than any other solar solution available today. As a result, our solar modules can be seamlessly integrated into all major surface areas of the Sion to optimize sunlight capture. Solar-power will allow vehicles, such as the Sion, to operate with less dependency on battery charging infrastructures and a reduced number of loading cycles compared to ordinary BEVs. Our solar modules will also allow us to replace the traditional metal sheet exterior and eliminate the need for costly paint jobs. The layer of polymer on top of our solar cells provides protection against impact and damage, such as scratches. Patents and know-how will protect our solar technology, making it difficult for potential competitors to provide similar solutions without licensing our technology.</w:t>
      </w:r>
    </w:p>
    <w:p>
      <w:pPr>
        <w:spacing w:after="0" w:line="185" w:lineRule="exact"/>
        <w:rPr>
          <w:sz w:val="20"/>
          <w:szCs w:val="20"/>
          <w:color w:val="auto"/>
        </w:rPr>
      </w:pPr>
    </w:p>
    <w:p>
      <w:pPr>
        <w:ind w:left="20" w:right="40"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position as a technology leader: </w:t>
      </w:r>
      <w:r>
        <w:rPr>
          <w:rFonts w:ascii="Times New Roman" w:cs="Times New Roman" w:eastAsia="Times New Roman" w:hAnsi="Times New Roman"/>
          <w:sz w:val="18"/>
          <w:szCs w:val="18"/>
          <w:color w:val="auto"/>
        </w:rPr>
        <w:t>Based on the experience we have gained from developing and testing our 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prototypes, we believe that we are well positioned to offer a one-stop-shop solution. We can take care of everything to realize solar integration in vehicles, from product development to the provision of services. We intend to deliver customized solutions, such as large body panels, solar sandwich panels, 3D shaped panels and semi-translucent solar windows, that meet the requirements and needs of potential customers in relation to different types of vehicles. Our on-board charger together with our high efficiency solar modules result in a highly efficient system, delivering outstanding power per square foot ratios.</w:t>
      </w:r>
    </w:p>
    <w:p>
      <w:pPr>
        <w:spacing w:after="0" w:line="186" w:lineRule="exact"/>
        <w:rPr>
          <w:sz w:val="20"/>
          <w:szCs w:val="20"/>
          <w:color w:val="auto"/>
        </w:rPr>
      </w:pPr>
    </w:p>
    <w:p>
      <w:pPr>
        <w:ind w:left="20" w:right="280" w:firstLine="318"/>
        <w:spacing w:after="0" w:line="253" w:lineRule="auto"/>
        <w:rPr>
          <w:sz w:val="20"/>
          <w:szCs w:val="20"/>
          <w:color w:val="auto"/>
        </w:rPr>
      </w:pPr>
      <w:r>
        <w:rPr>
          <w:rFonts w:ascii="Times New Roman" w:cs="Times New Roman" w:eastAsia="Times New Roman" w:hAnsi="Times New Roman"/>
          <w:sz w:val="18"/>
          <w:szCs w:val="18"/>
          <w:color w:val="auto"/>
        </w:rPr>
        <w:t>In July 2022, we unveiled our “Solar Bus Kit”, a scalable business-to-business retrofit solution that reduces fuel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Sono Motors plans to offer a complete and efficient retrofit solution for bus fleet operators who have a compelling need to reduce diesel consumption and CO2 emissions to meet their sustainability goals.</w:t>
      </w:r>
    </w:p>
    <w:p>
      <w:pPr>
        <w:spacing w:after="0" w:line="178" w:lineRule="exact"/>
        <w:rPr>
          <w:sz w:val="20"/>
          <w:szCs w:val="20"/>
          <w:color w:val="auto"/>
        </w:rPr>
      </w:pPr>
    </w:p>
    <w:p>
      <w:pPr>
        <w:jc w:val="both"/>
        <w:ind w:left="20" w:right="340" w:firstLine="318"/>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 xml:space="preserve">Positioned to capture untapped affordable electric vehicle market poised for growth: </w:t>
      </w:r>
      <w:r>
        <w:rPr>
          <w:rFonts w:ascii="Times New Roman" w:cs="Times New Roman" w:eastAsia="Times New Roman" w:hAnsi="Times New Roman"/>
          <w:sz w:val="17"/>
          <w:szCs w:val="17"/>
          <w:color w:val="auto"/>
        </w:rPr>
        <w:t>The global automotive market is huge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vehicles with internal combustion engines account for the vast majority of sales. The market is expected to remain huge, with expected sizes of $8.9 trillion in 2030 and $9 trillion in 2040, according to data by Statista. The market for electric vehicles is expected to show</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374015</wp:posOffset>
            </wp:positionV>
            <wp:extent cx="64268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568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39535" cy="756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40"/>
        <w:spacing w:after="0" w:line="249" w:lineRule="auto"/>
        <w:rPr>
          <w:sz w:val="20"/>
          <w:szCs w:val="20"/>
          <w:color w:val="auto"/>
        </w:rPr>
      </w:pPr>
      <w:r>
        <w:rPr>
          <w:rFonts w:ascii="Times New Roman" w:cs="Times New Roman" w:eastAsia="Times New Roman" w:hAnsi="Times New Roman"/>
          <w:sz w:val="18"/>
          <w:szCs w:val="18"/>
          <w:color w:val="auto"/>
        </w:rPr>
        <w:t>strong growth over the next ten or more years. This expected growth will be driven by a number of trends, including expected increasing convergence of production costs for electric cars and cars with internal combustion engines, consumer awareness of environmental concerns and sustainable energy and regulatory incentives aimed at promoting a shift to electric mobility. Within the market for electric vehicles, we believe that solar-powered electric mobility will be the next key trend. We are a solar-based electric mobility innovator with a clear focus on advancing solar technology. We do not have a design legacy that defines our brand, giving us the freedom to design the Sion with a focus on solar cell integration. The Sion’s net entry price of currently €25.1 thousand, coupled with its expected electric battery range based on the WLTP standard of up to 305 kilometers, or up to 190 miles, and its solar-charging capability, set the Sion apart from other electric mobility options. As a result, we believe that the Sion has the potential to be the first solar electric vehicle to meet the demands of a mass market.</w:t>
      </w:r>
    </w:p>
    <w:p>
      <w:pPr>
        <w:spacing w:after="0" w:line="186" w:lineRule="exact"/>
        <w:rPr>
          <w:sz w:val="20"/>
          <w:szCs w:val="20"/>
          <w:color w:val="auto"/>
        </w:rPr>
      </w:pPr>
    </w:p>
    <w:p>
      <w:pPr>
        <w:ind w:left="20" w:right="80"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Reservations and pre-orders demonstrate consumer support: </w:t>
      </w:r>
      <w:r>
        <w:rPr>
          <w:rFonts w:ascii="Times New Roman" w:cs="Times New Roman" w:eastAsia="Times New Roman" w:hAnsi="Times New Roman"/>
          <w:sz w:val="18"/>
          <w:szCs w:val="18"/>
          <w:color w:val="auto"/>
        </w:rPr>
        <w:t>We have built what we believe is a vibrant and loyal community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customers. Potential customers can participate in online discussions with us and cast votes indicating their preference for certain features on the Sion. The traction we have gained among potential customers is evidenced by a significant number of reservations and pre-orders, which we believe provides commercial validation of our model and revenue momentum. As of September 1, 2022, we had more than 20,000 reservations , more than 3,500 of which were made in 2022, with advance payments resulting in total net cash inflows of around €43 million, or an average of approximately €2,000 per reservation, from our customers. These reservations correspond to a net sales volume of approximately €435 million, assuming that all reservations actually result in sales. However, our customers may cancel their reservations without penalty according to our general terms and conditions, if no binding purchase agreement has been concluded by an agreed deadline, which varies by customers. Some reservations are already cancelable as of the date of this prospectus. In addition, we have recorded more than 22,500 pre-orders from business customers, for which no advance payments were made and no contractual agreements were entered into.</w:t>
      </w:r>
    </w:p>
    <w:p>
      <w:pPr>
        <w:spacing w:after="0" w:line="185" w:lineRule="exact"/>
        <w:rPr>
          <w:sz w:val="20"/>
          <w:szCs w:val="20"/>
          <w:color w:val="auto"/>
        </w:rPr>
      </w:pPr>
    </w:p>
    <w:p>
      <w:pPr>
        <w:ind w:left="20" w:right="220" w:firstLine="318"/>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Lean, efficient and agile production model contains costs and promotes scalability: </w:t>
      </w:r>
      <w:r>
        <w:rPr>
          <w:rFonts w:ascii="Times New Roman" w:cs="Times New Roman" w:eastAsia="Times New Roman" w:hAnsi="Times New Roman"/>
          <w:sz w:val="17"/>
          <w:szCs w:val="17"/>
          <w:color w:val="auto"/>
        </w:rPr>
        <w:t>Our production model was intentionally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structured to align with our goals. We believe in plant sharing, in utilizing off-the-shelf component parts, and in a one-variant-only approach as ways to maintain relatively low overhead costs, significantly reduce our capital expenditures, and to become the price-value leader in the Sion’s car segment. We intend to maintain an asset-light production model and produce the Sion in Uusikaupunki, Finland with the contract manufacturer Valmet Automotive, so we will not have to invest in purchasing, operating or maintaining our own manufacturing facilities. We also intend to generate cost savings by producing a single, standardized vehicle model and by sourcing off-the-shelf component parts, such as the electric motor, mirrors, tires and car seats, from established automotive suppliers rather than engineering custom parts ourselves. We believe this approach will allow us to benefit from economies of scale and comparatively low component part prices so that we can pass these savings on to our customers. We estimate that the combination of these initiatives will allow us to realize up to approximately €500 million in aggregate expected cost and capital expenditure avoidance. We believe our production model will reduce purchasing and manufacturing complexity, logistical challenges and inventory costs, and minimize risks associated with quality control and testing, all of which should facilitate rapid growth of our operations.</w:t>
      </w:r>
    </w:p>
    <w:p>
      <w:pPr>
        <w:spacing w:after="0" w:line="169" w:lineRule="exact"/>
        <w:rPr>
          <w:sz w:val="20"/>
          <w:szCs w:val="20"/>
          <w:color w:val="auto"/>
        </w:rPr>
      </w:pPr>
    </w:p>
    <w:p>
      <w:pPr>
        <w:ind w:left="20"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Founder-led management team that includes industry experts with a clear growth mission: </w:t>
      </w:r>
      <w:r>
        <w:rPr>
          <w:rFonts w:ascii="Times New Roman" w:cs="Times New Roman" w:eastAsia="Times New Roman" w:hAnsi="Times New Roman"/>
          <w:sz w:val="18"/>
          <w:szCs w:val="18"/>
          <w:color w:val="auto"/>
        </w:rPr>
        <w:t>We are led by our founders, which gives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an outstanding combination of stability and a strong entrepreneurial corporate culture that fosters our common vision of affordable and sustainable electric mobility. Our founders are our major shareholders who drive our focus on long-term success and increasing shareholder value. We have also recruited experienced engineers from internationally renowned companies who possess strong skills in electrical engineering, solar engineering, automotive engineering and software development. Our experienced Chief Operating Officer, Chief Financial Officer, Chief Technology Officer, Group Lead Solar and Group Lead Digital complement our high-impact senior team due to their significant expertise in automotive manufacturing, solar technology and high-growth industries.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w:t>
      </w:r>
    </w:p>
    <w:p>
      <w:pPr>
        <w:spacing w:after="0" w:line="222" w:lineRule="exact"/>
        <w:rPr>
          <w:sz w:val="20"/>
          <w:szCs w:val="20"/>
          <w:color w:val="auto"/>
        </w:rPr>
      </w:pPr>
    </w:p>
    <w:p>
      <w:pPr>
        <w:ind w:left="20" w:right="20" w:firstLine="318"/>
        <w:spacing w:after="0" w:line="274" w:lineRule="auto"/>
        <w:rPr>
          <w:sz w:val="20"/>
          <w:szCs w:val="20"/>
          <w:color w:val="auto"/>
        </w:rPr>
      </w:pPr>
      <w:r>
        <w:rPr>
          <w:rFonts w:ascii="Times New Roman" w:cs="Times New Roman" w:eastAsia="Times New Roman" w:hAnsi="Times New Roman"/>
          <w:sz w:val="18"/>
          <w:szCs w:val="18"/>
          <w:color w:val="auto"/>
        </w:rPr>
        <w:t>Our growth strategy focuses on two clearly identified building blocks: monetization of our solar technology and production and sale of solar electric vehicles.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Growth Strategy Related to Our Solar Technology</w:t>
      </w:r>
    </w:p>
    <w:p>
      <w:pPr>
        <w:spacing w:after="0" w:line="216" w:lineRule="exact"/>
        <w:rPr>
          <w:sz w:val="20"/>
          <w:szCs w:val="20"/>
          <w:color w:val="auto"/>
        </w:rPr>
      </w:pPr>
    </w:p>
    <w:p>
      <w:pPr>
        <w:ind w:left="20" w:right="40"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Monetizing our technological innovations: </w:t>
      </w:r>
      <w:r>
        <w:rPr>
          <w:rFonts w:ascii="Times New Roman" w:cs="Times New Roman" w:eastAsia="Times New Roman" w:hAnsi="Times New Roman"/>
          <w:sz w:val="18"/>
          <w:szCs w:val="18"/>
          <w:color w:val="auto"/>
        </w:rPr>
        <w:t>We see significant potential in our solar technology for a broad range of applications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its physical flexibility compared to traditional glass solar panels, which enables tailor-made solutions for our clients. We believe that our technology has the potential to disrupt existing markets. We have the knowledge and products to cover the entire value chain for solar integration. We have already received purchase orders or entered into several non-binding letters of intent for partnerships, including with manufacturers of trailers, autonomous electric shuttles, trains, trucks, buses and boats that may use our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029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39535" cy="702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160"/>
        <w:spacing w:after="0" w:line="255" w:lineRule="auto"/>
        <w:rPr>
          <w:sz w:val="20"/>
          <w:szCs w:val="20"/>
          <w:color w:val="auto"/>
        </w:rPr>
      </w:pPr>
      <w:r>
        <w:rPr>
          <w:rFonts w:ascii="Times New Roman" w:cs="Times New Roman" w:eastAsia="Times New Roman" w:hAnsi="Times New Roman"/>
          <w:sz w:val="18"/>
          <w:szCs w:val="18"/>
          <w:color w:val="auto"/>
        </w:rPr>
        <w:t>technology in their own products. We may also produce and sell certain selected solar components, such as power electronics, license our patents to third parties or seek to generate service revenue from providing engineering services to third parties. They may use our technology to retrofit existing vehicles, to extend the range of BEVs, to equip new production vehicles or to comply with emission regulations.</w:t>
      </w:r>
    </w:p>
    <w:p>
      <w:pPr>
        <w:spacing w:after="0" w:line="178" w:lineRule="exact"/>
        <w:rPr>
          <w:sz w:val="20"/>
          <w:szCs w:val="20"/>
          <w:color w:val="auto"/>
        </w:rPr>
      </w:pPr>
    </w:p>
    <w:p>
      <w:pPr>
        <w:ind w:left="20" w:right="80"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invest in technological innovation and intelligent mobility: </w:t>
      </w:r>
      <w:r>
        <w:rPr>
          <w:rFonts w:ascii="Times New Roman" w:cs="Times New Roman" w:eastAsia="Times New Roman" w:hAnsi="Times New Roman"/>
          <w:sz w:val="18"/>
          <w:szCs w:val="18"/>
          <w:color w:val="auto"/>
        </w:rPr>
        <w:t>We have achieved significant technological and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around the integration of solar modules in vehicles while simultaneously reducing manufacturing costs. We intend to continue to invest in technological innovation to further advance our technologies and innovations, as well as the safety, reliability, range capabilities and functionality of our vehicles. We plan to invest in the improvement of existing, and the development of new, technologies. We intend to dedicate significant funding to the engineering, design and development, as well as the tooling, of our solar technology. We also intend to invest in the continuous development of the Sion and future vehicle models.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Growth Strategy Related to the Sion</w:t>
      </w:r>
    </w:p>
    <w:p>
      <w:pPr>
        <w:spacing w:after="0" w:line="216" w:lineRule="exact"/>
        <w:rPr>
          <w:sz w:val="20"/>
          <w:szCs w:val="20"/>
          <w:color w:val="auto"/>
        </w:rPr>
      </w:pPr>
    </w:p>
    <w:p>
      <w:pPr>
        <w:ind w:left="2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Advancing the development of the Sion: </w:t>
      </w:r>
      <w:r>
        <w:rPr>
          <w:rFonts w:ascii="Times New Roman" w:cs="Times New Roman" w:eastAsia="Times New Roman" w:hAnsi="Times New Roman"/>
          <w:sz w:val="18"/>
          <w:szCs w:val="18"/>
          <w:color w:val="auto"/>
        </w:rPr>
        <w:t>We are currently executing a detailed plan to finish the design and development of the 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finalizing the engineering of, and component sourcing for, the Sion. Further, we have completed the assembly of the first vehicles of our final generation of pre-series prototypes, our SVVs, and assembly of the remainder of the SVV fleet is underway.</w:t>
      </w:r>
    </w:p>
    <w:p>
      <w:pPr>
        <w:spacing w:after="0" w:line="171" w:lineRule="exact"/>
        <w:rPr>
          <w:sz w:val="20"/>
          <w:szCs w:val="20"/>
          <w:color w:val="auto"/>
        </w:rPr>
      </w:pPr>
    </w:p>
    <w:p>
      <w:pPr>
        <w:ind w:left="20" w:right="40" w:firstLine="31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Expanding our product portfolio: </w:t>
      </w:r>
      <w:r>
        <w:rPr>
          <w:rFonts w:ascii="Times New Roman" w:cs="Times New Roman" w:eastAsia="Times New Roman" w:hAnsi="Times New Roman"/>
          <w:sz w:val="17"/>
          <w:szCs w:val="17"/>
          <w:color w:val="auto"/>
        </w:rPr>
        <w:t>We are developing a “one base” vehicle platform with a view to scalability and usability for future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models. We intend to use modular systems in the Sion, including the powertrain, chassis, thermal unit and certain electronics. These modular systems can also be used for other car types without any, or only minor, modification. Leveraging this platform and these systems, we intend to roll out multiple new vehicle models across various segments, including a cargo van and a crossover passenger vehicle. We intend to equip all of our new electric vehicles with our solar technology, and all are expected to continue to be carbon neutral.</w:t>
      </w:r>
    </w:p>
    <w:p>
      <w:pPr>
        <w:spacing w:after="0" w:line="166" w:lineRule="exact"/>
        <w:rPr>
          <w:sz w:val="20"/>
          <w:szCs w:val="20"/>
          <w:color w:val="auto"/>
        </w:rPr>
      </w:pPr>
    </w:p>
    <w:p>
      <w:pPr>
        <w:ind w:left="20" w:right="40" w:firstLine="318"/>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Increasing our geographic footprint: </w:t>
      </w:r>
      <w:r>
        <w:rPr>
          <w:rFonts w:ascii="Times New Roman" w:cs="Times New Roman" w:eastAsia="Times New Roman" w:hAnsi="Times New Roman"/>
          <w:sz w:val="17"/>
          <w:szCs w:val="17"/>
          <w:color w:val="auto"/>
        </w:rPr>
        <w:t>Our initial market is focused on Germany, other EU member states and selected other European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markets. We plan to expand our focus to additional nearby markets. In the long term, we currently intend to expand our operations to other, more remote markets, such as the United States and potentially even China. In order to reduce complexity, we currently plan to have at least some of the vehicles intended for a specific region manufactured by third-party manufacturers in that particular region.</w:t>
      </w:r>
    </w:p>
    <w:p>
      <w:pPr>
        <w:spacing w:after="0" w:line="162" w:lineRule="exact"/>
        <w:rPr>
          <w:sz w:val="20"/>
          <w:szCs w:val="20"/>
          <w:color w:val="auto"/>
        </w:rPr>
      </w:pPr>
    </w:p>
    <w:p>
      <w:pPr>
        <w:ind w:left="20" w:firstLine="318"/>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Capturing additional revenue from CO2 pooling: </w:t>
      </w:r>
      <w:r>
        <w:rPr>
          <w:rFonts w:ascii="Times New Roman" w:cs="Times New Roman" w:eastAsia="Times New Roman" w:hAnsi="Times New Roman"/>
          <w:sz w:val="17"/>
          <w:szCs w:val="17"/>
          <w:color w:val="auto"/>
        </w:rPr>
        <w:t>Many developed countries have environmental regulations and incentives that seek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reduce CO2 emissions, providing us with an additional potential revenue source. For example, under EU regulation, any automotive manufacturer who fails to reduce the average emissions of its fleet sold in the EU to a specific CO2 emission per kilometer is subject to penalty payments. A manufacturer can avoid, or reduce, penalty payments, if it pools its emissions with those of manufacturers that exceed emission targets, such as manufacturers of zero or low emission vehicles. The economic benefit is shared between the pooling participants, providing us with an additional source of revenue. We intend to participate in one or more of these pooling arrangements, which we believe will comprise a meaningful percentage of our future revenue and will come at virtually no extra cost to us.</w:t>
      </w:r>
    </w:p>
    <w:p>
      <w:pPr>
        <w:spacing w:after="0" w:line="170" w:lineRule="exact"/>
        <w:rPr>
          <w:sz w:val="20"/>
          <w:szCs w:val="20"/>
          <w:color w:val="auto"/>
        </w:rPr>
      </w:pPr>
    </w:p>
    <w:p>
      <w:pPr>
        <w:ind w:left="20" w:right="40"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Adapting our sales approach: </w:t>
      </w:r>
      <w:r>
        <w:rPr>
          <w:rFonts w:ascii="Times New Roman" w:cs="Times New Roman" w:eastAsia="Times New Roman" w:hAnsi="Times New Roman"/>
          <w:sz w:val="18"/>
          <w:szCs w:val="18"/>
          <w:color w:val="auto"/>
        </w:rPr>
        <w:t>While we believe that our online approach to sales has the potential to replace the traditional dealership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of the car industry, we may consider supplementing or augmenting this approach by opening pop-up concept showrooms to allow our customers to view, touch and feel, and test-drive our model vehicles on-the-spot. We believe that pop-up concept showrooms may allow us to capture new potential customers who might not otherwise engage with our products. As we expand our product portfolio, we intend to utilize marketing and sales channels that provide us with the broadest possible reach and we intend to continue to be nimble and creative in how we target our customers to achieve maximum penetration in each market that we enter, while keeping our ambition of cost leadership in mind.</w:t>
      </w:r>
    </w:p>
    <w:p>
      <w:pPr>
        <w:spacing w:after="0" w:line="183" w:lineRule="exact"/>
        <w:rPr>
          <w:sz w:val="20"/>
          <w:szCs w:val="20"/>
          <w:color w:val="auto"/>
        </w:rPr>
      </w:pPr>
    </w:p>
    <w:p>
      <w:pPr>
        <w:ind w:left="20"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Continually improving our environmental performance: </w:t>
      </w:r>
      <w:r>
        <w:rPr>
          <w:rFonts w:ascii="Times New Roman" w:cs="Times New Roman" w:eastAsia="Times New Roman" w:hAnsi="Times New Roman"/>
          <w:sz w:val="18"/>
          <w:szCs w:val="18"/>
          <w:color w:val="auto"/>
        </w:rPr>
        <w:t>The core of our mission is to create sustainable products in a sustainable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 Accordingly, we plan to enhance the efficiency of the Sion’s drive train to increase the range that can be achieved with a single battery charge. In sourcing components and choosing our partners, we seek to continuously improve the CO2 footprint of the components we source and the services we receive. Our goal is to offset 100% of the CO2 emissions generated by the production of the Sion and our future vehicle models, with a view to achieving full CO2 neutrality during the production cycle.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299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39535"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Committed Equity Financing</w:t>
      </w:r>
    </w:p>
    <w:p>
      <w:pPr>
        <w:spacing w:after="0" w:line="222" w:lineRule="exact"/>
        <w:rPr>
          <w:sz w:val="20"/>
          <w:szCs w:val="20"/>
          <w:color w:val="auto"/>
        </w:rPr>
      </w:pPr>
    </w:p>
    <w:p>
      <w:pPr>
        <w:ind w:left="20" w:right="20" w:firstLine="318"/>
        <w:spacing w:after="0" w:line="249" w:lineRule="auto"/>
        <w:rPr>
          <w:sz w:val="20"/>
          <w:szCs w:val="20"/>
          <w:color w:val="auto"/>
        </w:rPr>
      </w:pPr>
      <w:r>
        <w:rPr>
          <w:rFonts w:ascii="Times New Roman" w:cs="Times New Roman" w:eastAsia="Times New Roman" w:hAnsi="Times New Roman"/>
          <w:sz w:val="18"/>
          <w:szCs w:val="18"/>
          <w:color w:val="auto"/>
        </w:rPr>
        <w:t>On June 13, 2022, we entered into the Purchase Agreement and a registration rights agreement (the “Registration Rights Agreement”) with the Selling Shareholder. Pursuant to the Purchase Agreement, we have the right to sell to the Selling Shareholder up to $150,000,000 of our ordinary shares (the “Total Commitment”), subject to certain limitations and conditions set forth in the Purchase Agreement, from time to time during the term of the Purchase Agreement. Sales of ordinary shares to the Selling Shareholder pursuant to the Purchase Agreement, and the timing of any such sales, are solely at our option, and we are under no obligation to sell any securities to the Selling Shareholder under the Purchase Agreement. In accordance with our obligations under the Registration Rights Agreement, we have filed the registration statement, of which this prospectus forms a part, with the SEC to register under the Securities Act the resale by the Selling Shareholder of up to 14,138,867 ordinary shares that we may elect, in our sole discretion, to issue and sell to the Selling Shareholder from time to time after the Commencement Date (as defined below) under the Purchase Agreement.</w:t>
      </w:r>
    </w:p>
    <w:p>
      <w:pPr>
        <w:spacing w:after="0" w:line="190" w:lineRule="exact"/>
        <w:rPr>
          <w:sz w:val="20"/>
          <w:szCs w:val="20"/>
          <w:color w:val="auto"/>
        </w:rPr>
      </w:pPr>
    </w:p>
    <w:p>
      <w:pPr>
        <w:ind w:left="20" w:firstLine="318"/>
        <w:spacing w:after="0" w:line="263" w:lineRule="auto"/>
        <w:rPr>
          <w:sz w:val="20"/>
          <w:szCs w:val="20"/>
          <w:color w:val="auto"/>
        </w:rPr>
      </w:pPr>
      <w:r>
        <w:rPr>
          <w:rFonts w:ascii="Times New Roman" w:cs="Times New Roman" w:eastAsia="Times New Roman" w:hAnsi="Times New Roman"/>
          <w:sz w:val="17"/>
          <w:szCs w:val="17"/>
          <w:color w:val="auto"/>
        </w:rPr>
        <w:t>Upon the initial satisfaction of the conditions to the Selling Shareholder’s purchase obligations set forth in the Purchase Agreement (the “Commencement”), including that the registration statement, of which this prospectus forms a part, be declared effective by the SEC, we will have the right, but not the obligation, from time to time at our sole discretion over the 24-month period beginning on the date the Commencement occurs (the “Commencement Date”), to direct the Selling Shareholder to purchase a specified number of ordinary shares (each, a “VWAP Purchase”), not to exceed the lesser of (i) 20.0% of the average trading volume (or number) of ordinary shares traded on Nasdaq for the 10-day consecutive trading period ending on (and including) the trading day immediately preceding the applicable Purchase Date (as defined below) (such average daily trading volume of ordinary shares for such 10 consecutive day trading period the “Purchase Volume Reference Amount”) and (ii) 20.0% of the total aggregate number (or volume) of our ordinary shares traded on Nasdaq during the applicable Purchase Valuation Period (as defined below) for such purchase (such lesser amount of shares, the “Maximum Purchase Amount”) (such specified number of shares to be purchased by the Selling Shareholder in such VWAP Purchase, adjusted to the extent necessary to give effect to the applicable Purchase Amount and certain additional limitations set forth in the Purchase Agreement the “Purchase Share Amount”) by timely delivering written notice to the Selling Shareholder (each, a “Purchase Notice”) prior to 9:00 a.m., New York City time, on any trading day (each, a “Purchase Date”), so long as (i) the closing sale price of our ordinary share on Nasdaq on the trading day immediately prior to such Purchase Date is not less than $1.00, subject to adjustment as set forth in the Purchase Agreement (such price, as may be adjusted from time to time in accordance with the Purchase Agreement, the “Threshold Price”) and (ii) all ordinary shares subject to all prior purchases effected by us under the Purchase Agreement to the extent required to be delivered have been received by the Selling Shareholder prior to the time we deliver such Purchase Notice to the Selling Shareholder.</w:t>
      </w:r>
    </w:p>
    <w:p>
      <w:pPr>
        <w:spacing w:after="0" w:line="179" w:lineRule="exact"/>
        <w:rPr>
          <w:sz w:val="20"/>
          <w:szCs w:val="20"/>
          <w:color w:val="auto"/>
        </w:rPr>
      </w:pPr>
    </w:p>
    <w:p>
      <w:pPr>
        <w:ind w:left="20" w:right="40" w:firstLine="318"/>
        <w:spacing w:after="0" w:line="264" w:lineRule="auto"/>
        <w:rPr>
          <w:sz w:val="20"/>
          <w:szCs w:val="20"/>
          <w:color w:val="auto"/>
        </w:rPr>
      </w:pPr>
      <w:r>
        <w:rPr>
          <w:rFonts w:ascii="Times New Roman" w:cs="Times New Roman" w:eastAsia="Times New Roman" w:hAnsi="Times New Roman"/>
          <w:sz w:val="17"/>
          <w:szCs w:val="17"/>
          <w:color w:val="auto"/>
        </w:rPr>
        <w:t>The per share purchase price that the Selling Shareholder is required to pay for ordinary shares in a VWAP Purchase effected by us pursuant to the Purchase Agreement, if any, will be determined by reference to the volume weighted average price of our ordinary share (the “VWAP”), calculated in accordance with the Purchase Agreement, for the period (the “Purchase Valuation Period”) beginning at the official open (or “commencement”) of the regular trading session on Nasdaq on the applicable Purchase Date for such VWAP Purchase, and ending at the earliest to occur of (i) the official close of the regular trading session on Nasdaq on such Purchase Date, (ii) such time that the total aggregate number (or volume) of ordinary shares traded on Nasdaq during such Purchase Valuation Period (calculated in accordance with the Purchase Agreement) reaches the applicable share volume maximum amount for such VWAP Purchase (the “Purchase Volume Maximum”), calculated by dividing (a) the applicable Purchase Share Amount for such VWAP Purchase by (b) 0.20, and (iii) such time that the trading price of an ordinary share on Nasdaq during such Purchase Valuation Period (calculated in accordance with the Purchase Agreement) falls below the applicable minimum price threshold for such VWAP Purchase specified by us in the Purchase Notice for such VWAP Purchase, or if we do not specify a minimum price threshold for such ordinary shares in such Purchase Notice, a price equal to 75.0% of the closing sale price of the ordinary shares on the trading day immediately prior to the applicable Purchase Date for such VWAP Purchase) (the “Minimum Price Threshold”), less a fixed 2.0% discount to the VWAP for such Purchase Valuation Period.</w:t>
      </w:r>
    </w:p>
    <w:p>
      <w:pPr>
        <w:spacing w:after="0" w:line="176" w:lineRule="exact"/>
        <w:rPr>
          <w:sz w:val="20"/>
          <w:szCs w:val="20"/>
          <w:color w:val="auto"/>
        </w:rPr>
      </w:pPr>
    </w:p>
    <w:p>
      <w:pPr>
        <w:ind w:left="20" w:firstLine="318"/>
        <w:spacing w:after="0" w:line="249" w:lineRule="auto"/>
        <w:rPr>
          <w:sz w:val="20"/>
          <w:szCs w:val="20"/>
          <w:color w:val="auto"/>
        </w:rPr>
      </w:pPr>
      <w:r>
        <w:rPr>
          <w:rFonts w:ascii="Times New Roman" w:cs="Times New Roman" w:eastAsia="Times New Roman" w:hAnsi="Times New Roman"/>
          <w:sz w:val="18"/>
          <w:szCs w:val="18"/>
          <w:color w:val="auto"/>
        </w:rPr>
        <w:t>In addition to the regular VWAP Purchases described above, after the Commencement we will also have the right, but not the obligation, subject to the continued satisfaction of conditions set forth in the Purchase Agreement, to direct the Selling Shareholder to purchase, on any trading day, including the same Purchase Date on which a regular VWAP Purchase is effected (if any, although we are not required to effect an earlier regular VWAP Purchase on such trading day), a specified number of ordinary shares (each, an “Intraday VWAP Purchase”), not to exceed the lesser of (such lesser number of shares, the “Intraday VWAP Purchase Maximum Amount”): (i) 20.0% of the same Purchase Volume Reference Amount as applicable to a regular VWAP Purchase (if any) effected on the same Purchase Date and (ii) 20.0% of the total aggregate volume of our ordinary shares traded on Nasdaq during the applicable “Intraday Purchase Valuation Period” ​ (determined in the same manner as for a regular VWAP Purchase) for such Intraday VWAP Purchase (such specified number of shares, adjusted to the extent necessary to give effect to the applicable Intraday Maximum</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433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39535" cy="743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60"/>
        <w:spacing w:after="0" w:line="265" w:lineRule="auto"/>
        <w:rPr>
          <w:sz w:val="20"/>
          <w:szCs w:val="20"/>
          <w:color w:val="auto"/>
        </w:rPr>
      </w:pPr>
      <w:r>
        <w:rPr>
          <w:rFonts w:ascii="Times New Roman" w:cs="Times New Roman" w:eastAsia="Times New Roman" w:hAnsi="Times New Roman"/>
          <w:sz w:val="17"/>
          <w:szCs w:val="17"/>
          <w:color w:val="auto"/>
        </w:rPr>
        <w:t>Purchase Amount, the “Intraday Purchase Share Amount”), by the delivery to the Selling Shareholder of an irrevocable written purchase notice, after 10:00 a.m., New York City time (and after the Purchase Valuation Period for any prior regular VWAP Purchase (if any) and the Intraday Purchase Valuation Period for the most recent prior Intraday VWAP Purchase effected on the same Purchase Date (if any) have ended), and prior to 2:00 p.m., New York City time, on such Purchase Date (each, an “Intraday Purchase Notice”), so long as (i) the closing sale price of our ordinary share on the trading day immediately prior to such Purchase Date is not less than the Threshold Price and</w:t>
      </w:r>
    </w:p>
    <w:p>
      <w:pPr>
        <w:spacing w:after="0" w:line="1" w:lineRule="exact"/>
        <w:rPr>
          <w:sz w:val="20"/>
          <w:szCs w:val="20"/>
          <w:color w:val="auto"/>
        </w:rPr>
      </w:pPr>
    </w:p>
    <w:p>
      <w:pPr>
        <w:ind w:left="20" w:right="100"/>
        <w:spacing w:after="0" w:line="249" w:lineRule="auto"/>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ordinary shares subject to all prior VWAP Purchases and all prior Intraday VWAP Purchases by the Selling Shareholder under the Purchase Agreement to the extent required to be delivered have been received by the Selling Shareholder prior to the time we deliver such Intraday Purchase Notice to the Selling Shareholder.</w:t>
      </w:r>
    </w:p>
    <w:p>
      <w:pPr>
        <w:spacing w:after="0" w:line="185" w:lineRule="exact"/>
        <w:rPr>
          <w:sz w:val="20"/>
          <w:szCs w:val="20"/>
          <w:color w:val="auto"/>
        </w:rPr>
      </w:pPr>
    </w:p>
    <w:p>
      <w:pPr>
        <w:ind w:left="20" w:firstLine="318"/>
        <w:spacing w:after="0" w:line="271" w:lineRule="auto"/>
        <w:rPr>
          <w:sz w:val="20"/>
          <w:szCs w:val="20"/>
          <w:color w:val="auto"/>
        </w:rPr>
      </w:pPr>
      <w:r>
        <w:rPr>
          <w:rFonts w:ascii="Times New Roman" w:cs="Times New Roman" w:eastAsia="Times New Roman" w:hAnsi="Times New Roman"/>
          <w:sz w:val="17"/>
          <w:szCs w:val="17"/>
          <w:color w:val="auto"/>
        </w:rPr>
        <w:t>The per share purchase price for the ordinary shares that we elect to sell to the Selling Shareholder in an Intraday VWAP Purchase pursuant to the Purchase Agreement, if any, will be calculated in the same manner as in the case of a regular VWAP Purchase (including the same fixed percentage discounts to the applicable VWAP as in the case of a regular VWAP Purchase, as described above), provided that the VWAP for each Intraday VWAP Purchase effected on a Purchase Date will be calculated over different periods during the regular trading session on Nasdaq on such Purchase Date, each of which will commence and end at different times on such Purchase Date.</w:t>
      </w:r>
    </w:p>
    <w:p>
      <w:pPr>
        <w:spacing w:after="0" w:line="170" w:lineRule="exact"/>
        <w:rPr>
          <w:sz w:val="20"/>
          <w:szCs w:val="20"/>
          <w:color w:val="auto"/>
        </w:rPr>
      </w:pPr>
    </w:p>
    <w:p>
      <w:pPr>
        <w:ind w:left="20" w:right="140" w:firstLine="318"/>
        <w:spacing w:after="0" w:line="266" w:lineRule="auto"/>
        <w:rPr>
          <w:sz w:val="20"/>
          <w:szCs w:val="20"/>
          <w:color w:val="auto"/>
        </w:rPr>
      </w:pPr>
      <w:r>
        <w:rPr>
          <w:rFonts w:ascii="Times New Roman" w:cs="Times New Roman" w:eastAsia="Times New Roman" w:hAnsi="Times New Roman"/>
          <w:sz w:val="17"/>
          <w:szCs w:val="17"/>
          <w:color w:val="auto"/>
        </w:rPr>
        <w:t>There is no upper limit on the price per share that the Selling Shareholder could be obligated to pay for the ordinary share we may elect to sell to it in any VWAP Purchase or any Intraday VWAP Purchase under the Purchase Agreement. In the case of VWAP Purchases and Intraday VWAP Purchases effected by us under the Purchase Agreement, if any, all share and dollar amounts used in determining the purchase price per ordinary share to be purchased by the Selling Shareholder in a VWAP Purchase or an Intraday VWAP Purchase (as applicable), or in determining the applicable maximum purchase share amounts or applicable volume or price threshold amounts in connection with any such VWAP Purchase or Intraday VWAP Purchase (as applicable), in each case, will be equitably adjusted for any reorganization, recapitalization, non-cash dividend, share split, reverse share split or other similar transaction occurring during any period used to calculate such per share purchase price, maximum purchase share amounts or applicable volume or price threshold amounts.</w:t>
      </w:r>
    </w:p>
    <w:p>
      <w:pPr>
        <w:spacing w:after="0" w:line="177" w:lineRule="exact"/>
        <w:rPr>
          <w:sz w:val="20"/>
          <w:szCs w:val="20"/>
          <w:color w:val="auto"/>
        </w:rPr>
      </w:pPr>
    </w:p>
    <w:p>
      <w:pPr>
        <w:ind w:left="20" w:right="380" w:firstLine="318"/>
        <w:spacing w:after="0" w:line="255" w:lineRule="auto"/>
        <w:rPr>
          <w:sz w:val="20"/>
          <w:szCs w:val="20"/>
          <w:color w:val="auto"/>
        </w:rPr>
      </w:pPr>
      <w:r>
        <w:rPr>
          <w:rFonts w:ascii="Times New Roman" w:cs="Times New Roman" w:eastAsia="Times New Roman" w:hAnsi="Times New Roman"/>
          <w:sz w:val="18"/>
          <w:szCs w:val="18"/>
          <w:color w:val="auto"/>
        </w:rPr>
        <w:t>From and after Commencement, we will control the timing and amount of any sales of ordinary shares to the Selling Shareholder. Actual sales of ordinary shares to the Selling Shareholder under the Purchase Agreement will depend on a variety of factors to be determined by us from time to time, including, among other things, market conditions, the trading price of the ordinary shares and determinations by us as to the appropriate sources of funding for our business and its operations.</w:t>
      </w:r>
    </w:p>
    <w:p>
      <w:pPr>
        <w:spacing w:after="0" w:line="182" w:lineRule="exact"/>
        <w:rPr>
          <w:sz w:val="20"/>
          <w:szCs w:val="20"/>
          <w:color w:val="auto"/>
        </w:rPr>
      </w:pPr>
    </w:p>
    <w:p>
      <w:pPr>
        <w:ind w:left="20" w:right="20" w:firstLine="318"/>
        <w:spacing w:after="0" w:line="255" w:lineRule="auto"/>
        <w:rPr>
          <w:sz w:val="20"/>
          <w:szCs w:val="20"/>
          <w:color w:val="auto"/>
        </w:rPr>
      </w:pPr>
      <w:r>
        <w:rPr>
          <w:rFonts w:ascii="Times New Roman" w:cs="Times New Roman" w:eastAsia="Times New Roman" w:hAnsi="Times New Roman"/>
          <w:sz w:val="18"/>
          <w:szCs w:val="18"/>
          <w:color w:val="auto"/>
        </w:rPr>
        <w:t>We may not issue or sell any ordinary shares to the Selling Shareholder under the Purchase Agreement which, when aggregated with all other ordinary shares then beneficially owned by the Selling Shareholder and its affiliates (as calculated pursuant to Section 13(d) of the Securities Exchange Act of 1934, as amended (the “Exchange Act”), and Rule 13d-3 thereunder), would result in the Selling Shareholder beneficially owning more than 4.99% of the outstanding ordinary shares (the “Beneficial Ownership Limitation”).</w:t>
      </w:r>
    </w:p>
    <w:p>
      <w:pPr>
        <w:spacing w:after="0" w:line="182" w:lineRule="exact"/>
        <w:rPr>
          <w:sz w:val="20"/>
          <w:szCs w:val="20"/>
          <w:color w:val="auto"/>
        </w:rPr>
      </w:pPr>
    </w:p>
    <w:p>
      <w:pPr>
        <w:ind w:left="20" w:right="120" w:firstLine="318"/>
        <w:spacing w:after="0" w:line="255" w:lineRule="auto"/>
        <w:rPr>
          <w:sz w:val="20"/>
          <w:szCs w:val="20"/>
          <w:color w:val="auto"/>
        </w:rPr>
      </w:pPr>
      <w:r>
        <w:rPr>
          <w:rFonts w:ascii="Times New Roman" w:cs="Times New Roman" w:eastAsia="Times New Roman" w:hAnsi="Times New Roman"/>
          <w:sz w:val="18"/>
          <w:szCs w:val="18"/>
          <w:color w:val="auto"/>
        </w:rPr>
        <w:t>The net proceeds to us from sales we elect to make to the Selling Shareholder under the Purchase Agreement, if any, will depend on the frequency and prices at which we sell our ordinary shares to the Selling Shareholder. We expect that any proceeds received by us from such sales to the Selling Shareholder will be used to cover some of the external funding needed until the start of production, for working capital and general corporate purposes.</w:t>
      </w:r>
    </w:p>
    <w:p>
      <w:pPr>
        <w:spacing w:after="0" w:line="182" w:lineRule="exact"/>
        <w:rPr>
          <w:sz w:val="20"/>
          <w:szCs w:val="20"/>
          <w:color w:val="auto"/>
        </w:rPr>
      </w:pPr>
    </w:p>
    <w:p>
      <w:pPr>
        <w:ind w:left="20" w:right="100" w:firstLine="318"/>
        <w:spacing w:after="0" w:line="253"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Purchase Agreement or Registration Rights Agreement. The Selling Shareholder has agreed that none of the Selling Shareholder, or any entity managed or controlled by the Selling Shareholder, or any of their respective officers, will engage in or effect, directly or indirectly, for its own account or for the account of any other of such persons or entities, any short sales of the ordinary shares or hedging transaction that establishes a net short position in the ordinary shares during the term of the Purchase Agreement.</w:t>
      </w:r>
    </w:p>
    <w:p>
      <w:pPr>
        <w:spacing w:after="0" w:line="182" w:lineRule="exact"/>
        <w:rPr>
          <w:sz w:val="20"/>
          <w:szCs w:val="20"/>
          <w:color w:val="auto"/>
        </w:rPr>
      </w:pPr>
    </w:p>
    <w:p>
      <w:pPr>
        <w:ind w:left="20" w:firstLine="318"/>
        <w:spacing w:after="0" w:line="249"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first day of the month next following the 24-month anniversary of the Commencement Date, (ii) the date on which the Selling Shareholder shall have purchased from us under the Purchase Agreement ordinary shares for an aggregate gross purchase price of $150,000,000, (iii) the date on which the ordinary shares shall have failed to be listed or quoted on Nasdaq or another U.S. national securities exchange identified as an “eligible market” in the Purchase Agreement, (iv) the 30th trading day after the date on which a voluntary or involuntary bankruptcy proceeding involving us has been commenced that is not discharged or dismissed prior to such trading day, and (v) the date on which a bankruptcy custodian is appointed for all or substantially all of our property or we make a general assignment for the benefit of creditors. We have the right to terminate the Purchase Agreement at any time after Commencement, at no cost or penalty, upon ten trading days’ prior written notice to the Selling Shareholder. The Selling Shareholder has the right to terminate the Purchase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433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9535" cy="743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20"/>
        <w:spacing w:after="0" w:line="251" w:lineRule="auto"/>
        <w:rPr>
          <w:sz w:val="20"/>
          <w:szCs w:val="20"/>
          <w:color w:val="auto"/>
        </w:rPr>
      </w:pPr>
      <w:r>
        <w:rPr>
          <w:rFonts w:ascii="Times New Roman" w:cs="Times New Roman" w:eastAsia="Times New Roman" w:hAnsi="Times New Roman"/>
          <w:sz w:val="18"/>
          <w:szCs w:val="18"/>
          <w:color w:val="auto"/>
        </w:rPr>
        <w:t>Agreement upon ten trading days’ prior written notice to us upon the occurrence of certain events set forth in the Purchase Agreement. We and the Selling Shareholder may also agree to terminate the Purchase Agreement by mutual written consent. In any case, no termination of the Purchase Agreement will be effective during the pendency of any VWAP Purchase that has not then fully settled in accordance with the Purchase Agreement. Neither we nor the Selling Shareholder may assign or transfer our respective rights and obligations under the Purchase Agreement or the Registration Rights Agreement subject to certain exceptions, and no provision of the Purchase Agreement or the Registration Rights Agreement may be modified or waived by us or the Selling Shareholder.</w:t>
      </w:r>
    </w:p>
    <w:p>
      <w:pPr>
        <w:spacing w:after="0" w:line="187" w:lineRule="exact"/>
        <w:rPr>
          <w:sz w:val="20"/>
          <w:szCs w:val="20"/>
          <w:color w:val="auto"/>
        </w:rPr>
      </w:pPr>
    </w:p>
    <w:p>
      <w:pPr>
        <w:ind w:left="20" w:firstLine="318"/>
        <w:spacing w:after="0" w:line="247" w:lineRule="auto"/>
        <w:rPr>
          <w:sz w:val="20"/>
          <w:szCs w:val="20"/>
          <w:color w:val="auto"/>
        </w:rPr>
      </w:pPr>
      <w:r>
        <w:rPr>
          <w:rFonts w:ascii="Times New Roman" w:cs="Times New Roman" w:eastAsia="Times New Roman" w:hAnsi="Times New Roman"/>
          <w:sz w:val="18"/>
          <w:szCs w:val="18"/>
          <w:color w:val="auto"/>
        </w:rPr>
        <w:t>We do not know what the purchase price for our ordinary shares will be and therefore cannot be certain as to the number of shares we might issue to the Selling Shareholder under the Purchase Agreement after the Commencement Date. As of October 6, 2022, there were 84,868,774 ordinary shares outstanding, of which 45,339,364 shares were held by non-affiliates of the Company. Although the Purchase Agreement provides that we may sell up to $150,000,000 of our ordinary shares to the Selling Shareholder, only 14,138,867 ordinary shares are being registered for resale by the Selling Shareholder under this prospectus. Depending on the market prices of our ordinary shares at the time we elect to issue and sell shares to the Selling Shareholder under the Purchase Agreement, we may need to register under the Securities Act additional ordinary shares for resale by the Selling Shareholder in order to receive aggregate gross proceeds equal to the $150,000,000 Total Commitment available to us under the Purchase Agreement. If all of the 14,138,867 ordinary shares offered by the Selling Shareholder for resale under this prospectus were issued and outstanding as of the date hereof, such shares would represent approximately 14.3% of the total number of ordinary shares outstanding and approximately 23.8% of the total number of outstanding ordinary shares held by non-affiliates as of October 6, 2022. If we elect to issue and sell more than 14,138,867 ordinary shares offered under this prospectus to the Selling Shareholder, which we have the right, but not the obligation, to do, we must first register under the Securities Act such additional ordinary shares for resale by the Selling Shareholder, which could cause additional substantial dilution to our shareholders. The number of ordinary shares ultimately offered for resale by the Selling Shareholder through this prospectus is dependent upon the number of ordinary shares we elect to sell to the Selling Shareholder under the Purchase Agreement from and after the Commencement Date.</w:t>
      </w:r>
    </w:p>
    <w:p>
      <w:pPr>
        <w:spacing w:after="0" w:line="200" w:lineRule="exact"/>
        <w:rPr>
          <w:sz w:val="20"/>
          <w:szCs w:val="20"/>
          <w:color w:val="auto"/>
        </w:rPr>
      </w:pPr>
    </w:p>
    <w:p>
      <w:pPr>
        <w:ind w:left="20" w:right="60" w:firstLine="318"/>
        <w:spacing w:after="0" w:line="269" w:lineRule="auto"/>
        <w:rPr>
          <w:sz w:val="20"/>
          <w:szCs w:val="20"/>
          <w:color w:val="auto"/>
        </w:rPr>
      </w:pPr>
      <w:r>
        <w:rPr>
          <w:rFonts w:ascii="Times New Roman" w:cs="Times New Roman" w:eastAsia="Times New Roman" w:hAnsi="Times New Roman"/>
          <w:sz w:val="17"/>
          <w:szCs w:val="17"/>
          <w:color w:val="auto"/>
        </w:rPr>
        <w:t>There are substantial risks to our shareholders as a result of the issuance and sale of ordinary shares to the Selling Shareholder under the Purchase Agreement. These risks include substantial dilution, significant declines in our share price and our inability to draw sufficient funds when needed.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the shares owned by our existing shareholders will represent a smaller percentage of our total outstanding shares after any such issuance to the Selling Shareholder.</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2" w:lineRule="exact"/>
        <w:rPr>
          <w:sz w:val="20"/>
          <w:szCs w:val="20"/>
          <w:color w:val="auto"/>
        </w:rPr>
      </w:pPr>
    </w:p>
    <w:p>
      <w:pPr>
        <w:ind w:left="20" w:right="340" w:firstLine="318"/>
        <w:spacing w:after="0" w:line="274" w:lineRule="auto"/>
        <w:rPr>
          <w:sz w:val="20"/>
          <w:szCs w:val="20"/>
          <w:color w:val="auto"/>
        </w:rPr>
      </w:pPr>
      <w:r>
        <w:rPr>
          <w:rFonts w:ascii="Times New Roman" w:cs="Times New Roman" w:eastAsia="Times New Roman" w:hAnsi="Times New Roman"/>
          <w:sz w:val="18"/>
          <w:szCs w:val="18"/>
          <w:color w:val="auto"/>
        </w:rPr>
        <w:t>We initially intended for the Sion to be produced by National Electric Vehicle Sweden (“NEVS”), in Trollhättan, Sweden. In April 2022, we announced that we would switch to Valmet Automotive in Uusikaupunki, Finland.</w:t>
      </w:r>
    </w:p>
    <w:p>
      <w:pPr>
        <w:spacing w:after="0" w:line="164" w:lineRule="exact"/>
        <w:rPr>
          <w:sz w:val="20"/>
          <w:szCs w:val="20"/>
          <w:color w:val="auto"/>
        </w:rPr>
      </w:pPr>
    </w:p>
    <w:p>
      <w:pPr>
        <w:ind w:left="20" w:right="160" w:firstLine="318"/>
        <w:spacing w:after="0" w:line="274" w:lineRule="auto"/>
        <w:rPr>
          <w:sz w:val="20"/>
          <w:szCs w:val="20"/>
          <w:color w:val="auto"/>
        </w:rPr>
      </w:pPr>
      <w:r>
        <w:rPr>
          <w:rFonts w:ascii="Times New Roman" w:cs="Times New Roman" w:eastAsia="Times New Roman" w:hAnsi="Times New Roman"/>
          <w:sz w:val="18"/>
          <w:szCs w:val="18"/>
          <w:color w:val="auto"/>
        </w:rPr>
        <w:t>This change in the envisaged contract manufacturer contributed to an increase in our funding needs and led to a delay in the intended date for start of production from the first half of 2023 to the second half of 2023.</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2022, we issued 10,930,000 shares in a follow-on offering. The net proceeds from this offering were $40.6 million.</w:t>
      </w:r>
    </w:p>
    <w:p>
      <w:pPr>
        <w:spacing w:after="0" w:line="218" w:lineRule="exact"/>
        <w:rPr>
          <w:sz w:val="20"/>
          <w:szCs w:val="20"/>
          <w:color w:val="auto"/>
        </w:rPr>
      </w:pPr>
    </w:p>
    <w:p>
      <w:pPr>
        <w:jc w:val="both"/>
        <w:ind w:left="20" w:right="360" w:firstLine="318"/>
        <w:spacing w:after="0" w:line="260" w:lineRule="auto"/>
        <w:rPr>
          <w:sz w:val="20"/>
          <w:szCs w:val="20"/>
          <w:color w:val="auto"/>
        </w:rPr>
      </w:pPr>
      <w:r>
        <w:rPr>
          <w:rFonts w:ascii="Times New Roman" w:cs="Times New Roman" w:eastAsia="Times New Roman" w:hAnsi="Times New Roman"/>
          <w:sz w:val="18"/>
          <w:szCs w:val="18"/>
          <w:color w:val="auto"/>
        </w:rPr>
        <w:t>In July 2022, we presented the first vehicles from the third prototype generation, the SVV. In total, we are working to assemble 37 SVVs and bodies-in-white with the support of our partners thyssenkrupp Automotive Body Solutions and Bertrandt, which are located close to Sono Motors’ headquarters in Munich. Assembly of the SVVs is currently ongoing.</w:t>
      </w:r>
    </w:p>
    <w:p>
      <w:pPr>
        <w:spacing w:after="0" w:line="176" w:lineRule="exact"/>
        <w:rPr>
          <w:sz w:val="20"/>
          <w:szCs w:val="20"/>
          <w:color w:val="auto"/>
        </w:rPr>
      </w:pPr>
    </w:p>
    <w:p>
      <w:pPr>
        <w:ind w:left="20" w:right="20" w:firstLine="318"/>
        <w:spacing w:after="0" w:line="253" w:lineRule="auto"/>
        <w:rPr>
          <w:sz w:val="20"/>
          <w:szCs w:val="20"/>
          <w:color w:val="auto"/>
        </w:rPr>
      </w:pPr>
      <w:r>
        <w:rPr>
          <w:rFonts w:ascii="Times New Roman" w:cs="Times New Roman" w:eastAsia="Times New Roman" w:hAnsi="Times New Roman"/>
          <w:sz w:val="18"/>
          <w:szCs w:val="18"/>
          <w:color w:val="auto"/>
        </w:rPr>
        <w:t>Also in July 2022, we unveiled our “Solar Bus Kit”, a scalable business-to-business retrofit solution that reduces fuel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Sono Motors plans to offer a complete and efficient retrofit solution for bus fleet operators who have a compelling need to reduce diesel consumption and CO2 emissions to meet their sustainability goals.</w:t>
      </w:r>
    </w:p>
    <w:p>
      <w:pPr>
        <w:spacing w:after="0" w:line="182" w:lineRule="exact"/>
        <w:rPr>
          <w:sz w:val="20"/>
          <w:szCs w:val="20"/>
          <w:color w:val="auto"/>
        </w:rPr>
      </w:pPr>
    </w:p>
    <w:p>
      <w:pPr>
        <w:ind w:left="20" w:right="160" w:firstLine="318"/>
        <w:spacing w:after="0" w:line="260" w:lineRule="auto"/>
        <w:rPr>
          <w:sz w:val="20"/>
          <w:szCs w:val="20"/>
          <w:color w:val="auto"/>
        </w:rPr>
      </w:pPr>
      <w:r>
        <w:rPr>
          <w:rFonts w:ascii="Times New Roman" w:cs="Times New Roman" w:eastAsia="Times New Roman" w:hAnsi="Times New Roman"/>
          <w:sz w:val="18"/>
          <w:szCs w:val="18"/>
          <w:color w:val="auto"/>
        </w:rPr>
        <w:t>In September 2022, we signed a Letter of Intent with FINN GmbH, a Munich-based car subscription platform, aiming to solidify our mutual cooperation. FINN GmbH was one of our first business-to-business reservation holders. Following its initial, non-binding reservation of 5,500 Sion in 2020, FINN GmbH now intends to reserve and purchase a total of 12,600 Sion. We seek to reach a final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433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9535" cy="743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40"/>
        <w:spacing w:after="0" w:line="274" w:lineRule="auto"/>
        <w:rPr>
          <w:sz w:val="20"/>
          <w:szCs w:val="20"/>
          <w:color w:val="auto"/>
        </w:rPr>
      </w:pPr>
      <w:r>
        <w:rPr>
          <w:rFonts w:ascii="Times New Roman" w:cs="Times New Roman" w:eastAsia="Times New Roman" w:hAnsi="Times New Roman"/>
          <w:sz w:val="18"/>
          <w:szCs w:val="18"/>
          <w:color w:val="auto"/>
        </w:rPr>
        <w:t>agreement with FINN GmbH regarding our cooperation in 2023. FINN GmbH also offers our reservation holders a €500 discount on a car subscription.</w:t>
      </w:r>
    </w:p>
    <w:p>
      <w:pPr>
        <w:spacing w:after="0" w:line="164" w:lineRule="exact"/>
        <w:rPr>
          <w:sz w:val="20"/>
          <w:szCs w:val="20"/>
          <w:color w:val="auto"/>
        </w:rPr>
      </w:pPr>
    </w:p>
    <w:p>
      <w:pPr>
        <w:ind w:left="20" w:right="40" w:firstLine="318"/>
        <w:spacing w:after="0" w:line="260" w:lineRule="auto"/>
        <w:rPr>
          <w:sz w:val="20"/>
          <w:szCs w:val="20"/>
          <w:color w:val="auto"/>
        </w:rPr>
      </w:pPr>
      <w:r>
        <w:rPr>
          <w:rFonts w:ascii="Times New Roman" w:cs="Times New Roman" w:eastAsia="Times New Roman" w:hAnsi="Times New Roman"/>
          <w:sz w:val="18"/>
          <w:szCs w:val="18"/>
          <w:color w:val="auto"/>
        </w:rPr>
        <w:t>From entry into the Purchase Agreement and the Registration Rights Agreement on June 13, 2022 through the date of this prospectus, we sold a total of 3,361,133 ordinary shares to Joh. Berenberg, Gossler &amp; Co.KG in accordance with the Purchase Agreement and the Registration Rights Agreement. The total gross proceeds were $10.1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222" w:lineRule="exact"/>
        <w:rPr>
          <w:sz w:val="20"/>
          <w:szCs w:val="20"/>
          <w:color w:val="auto"/>
        </w:rPr>
      </w:pPr>
    </w:p>
    <w:p>
      <w:pPr>
        <w:ind w:left="20" w:firstLine="318"/>
        <w:spacing w:after="0" w:line="260" w:lineRule="auto"/>
        <w:rPr>
          <w:sz w:val="20"/>
          <w:szCs w:val="20"/>
          <w:color w:val="auto"/>
        </w:rPr>
      </w:pPr>
      <w:r>
        <w:rPr>
          <w:rFonts w:ascii="Times New Roman" w:cs="Times New Roman" w:eastAsia="Times New Roman" w:hAnsi="Times New Roman"/>
          <w:sz w:val="18"/>
          <w:szCs w:val="18"/>
          <w:color w:val="auto"/>
        </w:rPr>
        <w:t>Our business is subject to numerous risks, as is more fully described in the section entitled “Risk Factors.” You should read these risks before you invest in our shares. We may be unable, for many reasons, including those that are beyond our control, to implement our business strategy. In particular, risks associated with our business include, but are not limited to, the following:</w:t>
      </w:r>
    </w:p>
    <w:p>
      <w:pPr>
        <w:spacing w:after="0" w:line="176" w:lineRule="exact"/>
        <w:rPr>
          <w:sz w:val="20"/>
          <w:szCs w:val="20"/>
          <w:color w:val="auto"/>
        </w:rPr>
      </w:pPr>
    </w:p>
    <w:p>
      <w:pPr>
        <w:ind w:left="680" w:right="260" w:hanging="315"/>
        <w:spacing w:after="0" w:line="274" w:lineRule="auto"/>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history of significant losses and expected continuing losses for the foreseeable future, which lead to continued reliance on external financing and raise substantial doubt about our ability to continue as a going concern;</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dependence of our success and future growth upon the market’s willingness to adopt solar electric vehicles;</w:t>
      </w:r>
    </w:p>
    <w:p>
      <w:pPr>
        <w:spacing w:after="0" w:line="217"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developments in vehicle technology that may adversely affect the demand for solar electric vehicles;</w:t>
      </w:r>
    </w:p>
    <w:p>
      <w:pPr>
        <w:spacing w:after="0" w:line="217" w:lineRule="exact"/>
        <w:rPr>
          <w:rFonts w:ascii="Times New Roman" w:cs="Times New Roman" w:eastAsia="Times New Roman" w:hAnsi="Times New Roman"/>
          <w:sz w:val="18"/>
          <w:szCs w:val="18"/>
          <w:color w:val="231F20"/>
        </w:rPr>
      </w:pPr>
    </w:p>
    <w:p>
      <w:pPr>
        <w:ind w:left="680" w:right="160" w:hanging="315"/>
        <w:spacing w:after="0" w:line="274" w:lineRule="auto"/>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competitiveness of the automotive market and the risk to fail to be among the first to serve the mass market with an electric vehicle with solar power capability;</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high volatility of demand in the automobile industry;</w:t>
      </w:r>
    </w:p>
    <w:p>
      <w:pPr>
        <w:spacing w:after="0" w:line="217" w:lineRule="exact"/>
        <w:rPr>
          <w:rFonts w:ascii="Times New Roman" w:cs="Times New Roman" w:eastAsia="Times New Roman" w:hAnsi="Times New Roman"/>
          <w:sz w:val="18"/>
          <w:szCs w:val="18"/>
          <w:color w:val="231F20"/>
        </w:rPr>
      </w:pPr>
    </w:p>
    <w:p>
      <w:pPr>
        <w:ind w:left="680" w:right="140" w:hanging="315"/>
        <w:spacing w:after="0" w:line="274" w:lineRule="auto"/>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unproven ability to develop vehicles and the risk of failing to finalize development and realize the commercialization of the Sion within the intended timeframe, budget or at all;</w:t>
      </w:r>
    </w:p>
    <w:p>
      <w:pPr>
        <w:spacing w:after="0" w:line="164" w:lineRule="exact"/>
        <w:rPr>
          <w:rFonts w:ascii="Times New Roman" w:cs="Times New Roman" w:eastAsia="Times New Roman" w:hAnsi="Times New Roman"/>
          <w:sz w:val="18"/>
          <w:szCs w:val="18"/>
          <w:color w:val="231F20"/>
        </w:rPr>
      </w:pPr>
    </w:p>
    <w:p>
      <w:pPr>
        <w:ind w:left="680" w:right="460" w:hanging="315"/>
        <w:spacing w:after="0" w:line="274" w:lineRule="auto"/>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 and financial constraints in the development of the Sion may require compromises regarding design, performance and quality;</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initial dependence on a single car model, the Sion;</w:t>
      </w:r>
    </w:p>
    <w:p>
      <w:pPr>
        <w:spacing w:after="0" w:line="217"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our customers may cancel their reservations for the Sion without penalty;</w:t>
      </w:r>
    </w:p>
    <w:p>
      <w:pPr>
        <w:spacing w:after="0" w:line="217" w:lineRule="exact"/>
        <w:rPr>
          <w:rFonts w:ascii="Times New Roman" w:cs="Times New Roman" w:eastAsia="Times New Roman" w:hAnsi="Times New Roman"/>
          <w:sz w:val="18"/>
          <w:szCs w:val="18"/>
          <w:color w:val="231F20"/>
        </w:rPr>
      </w:pPr>
    </w:p>
    <w:p>
      <w:pPr>
        <w:ind w:left="680" w:hanging="315"/>
        <w:spacing w:after="0" w:line="274" w:lineRule="auto"/>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intention to deploy technologies and solutions in our vehicles, including our solar module technology, which may not be fully functional or available on our anticipated schedule or at all, and may remain unproven and pose additional risks;</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the adequate protection of our intellectual property;</w:t>
      </w:r>
    </w:p>
    <w:p>
      <w:pPr>
        <w:spacing w:after="0" w:line="217" w:lineRule="exact"/>
        <w:rPr>
          <w:rFonts w:ascii="Times New Roman" w:cs="Times New Roman" w:eastAsia="Times New Roman" w:hAnsi="Times New Roman"/>
          <w:sz w:val="18"/>
          <w:szCs w:val="18"/>
          <w:color w:val="231F20"/>
        </w:rPr>
      </w:pPr>
    </w:p>
    <w:p>
      <w:pPr>
        <w:ind w:left="680" w:right="460" w:hanging="315"/>
        <w:spacing w:after="0" w:line="274" w:lineRule="auto"/>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our patent applications may not lead to the granting of patents or desired protection in time or at all, which may have a material adverse effect on our ability to prevent others from commercially exploiting products similar to ours;</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obstacles we may face in tapping additional revenue opportunities;</w:t>
      </w:r>
    </w:p>
    <w:p>
      <w:pPr>
        <w:spacing w:after="0" w:line="217"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delay in the commercial production of the Sion;</w:t>
      </w:r>
    </w:p>
    <w:p>
      <w:pPr>
        <w:spacing w:after="0" w:line="217"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possible inability to develop manufacturing processes and capabilities within our projected costs and timelines;</w:t>
      </w:r>
    </w:p>
    <w:p>
      <w:pPr>
        <w:spacing w:after="0" w:line="217" w:lineRule="exact"/>
        <w:rPr>
          <w:rFonts w:ascii="Times New Roman" w:cs="Times New Roman" w:eastAsia="Times New Roman" w:hAnsi="Times New Roman"/>
          <w:sz w:val="18"/>
          <w:szCs w:val="18"/>
          <w:color w:val="231F20"/>
        </w:rPr>
      </w:pPr>
    </w:p>
    <w:p>
      <w:pPr>
        <w:ind w:left="680" w:right="180" w:hanging="315"/>
        <w:spacing w:after="0" w:line="274" w:lineRule="auto"/>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unproven and still evolving ability to manufacture vehicles of sufficient quality and appeal to customers on schedule and at scale and to commercialize our vehicles;</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our contract manufacturer Valmet Automotive for production of the Sion;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299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9535"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the development, production, performance and durability of batteries being engineered by a single supplier;</w:t>
      </w:r>
    </w:p>
    <w:p>
      <w:pPr>
        <w:spacing w:after="0" w:line="217"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a single supplier for production of a central component of our solar panels;</w:t>
      </w:r>
    </w:p>
    <w:p>
      <w:pPr>
        <w:spacing w:after="0" w:line="217" w:lineRule="exact"/>
        <w:rPr>
          <w:rFonts w:ascii="Times New Roman" w:cs="Times New Roman" w:eastAsia="Times New Roman" w:hAnsi="Times New Roman"/>
          <w:sz w:val="18"/>
          <w:szCs w:val="18"/>
          <w:color w:val="231F20"/>
        </w:rPr>
      </w:pPr>
    </w:p>
    <w:p>
      <w:pPr>
        <w:ind w:left="680" w:right="280" w:hanging="315"/>
        <w:spacing w:after="0" w:line="274" w:lineRule="auto"/>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intention to outsource logistics management of our operations to third-party logistics (“3PL”) and potentially fourth-party logistics (“4PL”) services providers;</w:t>
      </w:r>
    </w:p>
    <w:p>
      <w:pPr>
        <w:spacing w:after="0" w:line="164" w:lineRule="exact"/>
        <w:rPr>
          <w:rFonts w:ascii="Times New Roman" w:cs="Times New Roman" w:eastAsia="Times New Roman" w:hAnsi="Times New Roman"/>
          <w:sz w:val="18"/>
          <w:szCs w:val="18"/>
          <w:color w:val="231F20"/>
        </w:rPr>
      </w:pPr>
    </w:p>
    <w:p>
      <w:pPr>
        <w:ind w:left="680" w:right="480" w:hanging="315"/>
        <w:spacing w:after="0" w:line="274" w:lineRule="auto"/>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negotiations of contractual agreements with many of our prospective suppliers and business partners and potential renegotiations of these agreements as we scale our business;</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involvement of numerous third parties in our process, which adds significant complexity;</w:t>
      </w:r>
    </w:p>
    <w:p>
      <w:pPr>
        <w:spacing w:after="0" w:line="217" w:lineRule="exact"/>
        <w:rPr>
          <w:rFonts w:ascii="Times New Roman" w:cs="Times New Roman" w:eastAsia="Times New Roman" w:hAnsi="Times New Roman"/>
          <w:sz w:val="18"/>
          <w:szCs w:val="18"/>
          <w:color w:val="231F20"/>
        </w:rPr>
      </w:pPr>
    </w:p>
    <w:p>
      <w:pPr>
        <w:ind w:left="680" w:right="440" w:hanging="315"/>
        <w:spacing w:after="0" w:line="274" w:lineRule="auto"/>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the acceptance of our brand and any negative publicity relating to any of our business partners and their products or services, which could have a significant negative impact on our business and reputation;</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the Sion or any of our future vehicles may fail to perform as expected;</w:t>
      </w:r>
    </w:p>
    <w:p>
      <w:pPr>
        <w:spacing w:after="0" w:line="217"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significant use of various communication channels for our public relations activities, including our website and social media;</w:t>
      </w:r>
    </w:p>
    <w:p>
      <w:pPr>
        <w:spacing w:after="0" w:line="229" w:lineRule="exact"/>
        <w:rPr>
          <w:rFonts w:ascii="Times New Roman" w:cs="Times New Roman" w:eastAsia="Times New Roman" w:hAnsi="Times New Roman"/>
          <w:sz w:val="17"/>
          <w:szCs w:val="17"/>
          <w:color w:val="231F20"/>
        </w:rPr>
      </w:pPr>
    </w:p>
    <w:p>
      <w:pPr>
        <w:ind w:left="680" w:right="440" w:hanging="315"/>
        <w:spacing w:after="0" w:line="274" w:lineRule="auto"/>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damage to our reputation due to the perception that our advertisements were overly positive or that we do not live up to our promises;</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noncompliance of our advertisements with all relevant legal requirements in the past or in the future;</w:t>
      </w:r>
    </w:p>
    <w:p>
      <w:pPr>
        <w:spacing w:after="0" w:line="217"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that could materially adversely affect our business, prospects, operating results and financial condition;</w:t>
      </w:r>
    </w:p>
    <w:p>
      <w:pPr>
        <w:spacing w:after="0" w:line="217"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unauthorized control or manipulation of our vehicles’ systems;</w:t>
      </w:r>
    </w:p>
    <w:p>
      <w:pPr>
        <w:spacing w:after="0" w:line="217" w:lineRule="exact"/>
        <w:rPr>
          <w:rFonts w:ascii="Times New Roman" w:cs="Times New Roman" w:eastAsia="Times New Roman" w:hAnsi="Times New Roman"/>
          <w:sz w:val="18"/>
          <w:szCs w:val="18"/>
          <w:color w:val="231F20"/>
        </w:rPr>
      </w:pPr>
    </w:p>
    <w:p>
      <w:pPr>
        <w:ind w:left="680" w:right="160" w:hanging="315"/>
        <w:spacing w:after="0" w:line="274" w:lineRule="auto"/>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associated with our growth strategy and international operations, including unfavorable regulatory, political, tax and labor conditions, which could harm our business;</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failure to manage our future growth effectively;</w:t>
      </w:r>
    </w:p>
    <w:p>
      <w:pPr>
        <w:spacing w:after="0" w:line="217" w:lineRule="exact"/>
        <w:rPr>
          <w:rFonts w:ascii="Times New Roman" w:cs="Times New Roman" w:eastAsia="Times New Roman" w:hAnsi="Times New Roman"/>
          <w:sz w:val="18"/>
          <w:szCs w:val="18"/>
          <w:color w:val="231F20"/>
        </w:rPr>
      </w:pPr>
    </w:p>
    <w:p>
      <w:pPr>
        <w:ind w:left="680" w:right="300" w:hanging="315"/>
        <w:spacing w:after="0" w:line="274" w:lineRule="auto"/>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attract and retain key employees and hire qualified management, technical and vehicle engineering personnel, which could harm our ability to compete;</w:t>
      </w:r>
    </w:p>
    <w:p>
      <w:pPr>
        <w:spacing w:after="0" w:line="164" w:lineRule="exact"/>
        <w:rPr>
          <w:rFonts w:ascii="Times New Roman" w:cs="Times New Roman" w:eastAsia="Times New Roman" w:hAnsi="Times New Roman"/>
          <w:sz w:val="18"/>
          <w:szCs w:val="18"/>
          <w:color w:val="231F20"/>
        </w:rPr>
      </w:pPr>
    </w:p>
    <w:p>
      <w:pPr>
        <w:ind w:left="680" w:hanging="315"/>
        <w:spacing w:after="0"/>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related to health epidemics, including the recent COVID-19 pandemic; and</w:t>
      </w:r>
    </w:p>
    <w:p>
      <w:pPr>
        <w:spacing w:after="0" w:line="217" w:lineRule="exact"/>
        <w:rPr>
          <w:rFonts w:ascii="Times New Roman" w:cs="Times New Roman" w:eastAsia="Times New Roman" w:hAnsi="Times New Roman"/>
          <w:sz w:val="18"/>
          <w:szCs w:val="18"/>
          <w:color w:val="231F20"/>
        </w:rPr>
      </w:pPr>
    </w:p>
    <w:p>
      <w:pPr>
        <w:ind w:left="680" w:right="40" w:hanging="315"/>
        <w:spacing w:after="0" w:line="274" w:lineRule="auto"/>
        <w:tabs>
          <w:tab w:leader="none" w:pos="6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need to raise substantial additional funds in the short term and potentially beyond, which may not be available to us when we need them on acceptable terms or at all.</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2" w:lineRule="exact"/>
        <w:rPr>
          <w:sz w:val="20"/>
          <w:szCs w:val="20"/>
          <w:color w:val="auto"/>
        </w:rPr>
      </w:pPr>
    </w:p>
    <w:p>
      <w:pPr>
        <w:ind w:left="20" w:firstLine="318"/>
        <w:spacing w:after="0" w:line="253" w:lineRule="auto"/>
        <w:rPr>
          <w:sz w:val="20"/>
          <w:szCs w:val="20"/>
          <w:color w:val="auto"/>
        </w:rPr>
      </w:pPr>
      <w:r>
        <w:rPr>
          <w:rFonts w:ascii="Times New Roman" w:cs="Times New Roman" w:eastAsia="Times New Roman" w:hAnsi="Times New Roman"/>
          <w:sz w:val="18"/>
          <w:szCs w:val="18"/>
          <w:color w:val="auto"/>
        </w:rPr>
        <w:t>Our principal executive offices are located at Waldmeisterstraße 76, 80935 Munich, Federal Republic of Germany. Our telephone number is +49 (0)89 4520 5818. Our website address is www.sonomotors.com.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ordinary shares. We do business under the commercial name Sono Motors.</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22" w:lineRule="exact"/>
        <w:rPr>
          <w:sz w:val="20"/>
          <w:szCs w:val="20"/>
          <w:color w:val="auto"/>
        </w:rPr>
      </w:pPr>
    </w:p>
    <w:p>
      <w:pPr>
        <w:ind w:left="20" w:right="100" w:firstLine="318"/>
        <w:spacing w:after="0" w:line="274" w:lineRule="auto"/>
        <w:rPr>
          <w:sz w:val="20"/>
          <w:szCs w:val="20"/>
          <w:color w:val="auto"/>
        </w:rPr>
      </w:pPr>
      <w:r>
        <w:rPr>
          <w:rFonts w:ascii="Times New Roman" w:cs="Times New Roman" w:eastAsia="Times New Roman" w:hAnsi="Times New Roman"/>
          <w:sz w:val="18"/>
          <w:szCs w:val="18"/>
          <w:color w:val="auto"/>
        </w:rPr>
        <w:t>We are organized and existing under the laws of The Netherlands, and, as such, under Dutch private international law rules the rights of our shareholders and the civil liability of our management board members, supervisory board members and executive officers</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6894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9535" cy="689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340"/>
        <w:spacing w:after="0" w:line="260" w:lineRule="auto"/>
        <w:rPr>
          <w:sz w:val="20"/>
          <w:szCs w:val="20"/>
          <w:color w:val="auto"/>
        </w:rPr>
      </w:pPr>
      <w:r>
        <w:rPr>
          <w:rFonts w:ascii="Times New Roman" w:cs="Times New Roman" w:eastAsia="Times New Roman" w:hAnsi="Times New Roman"/>
          <w:sz w:val="18"/>
          <w:szCs w:val="18"/>
          <w:color w:val="auto"/>
        </w:rPr>
        <w:t>are governed in certain respects by the laws of The Netherlands. The ability of our shareholders in certain countries other than The Netherlands to bring an action against us, our management board members, supervisory board members and executive officers may be limited under applicable law. In addition, substantially all of our assets are located outside the United States.</w:t>
      </w:r>
    </w:p>
    <w:p>
      <w:pPr>
        <w:spacing w:after="0" w:line="176" w:lineRule="exact"/>
        <w:rPr>
          <w:sz w:val="20"/>
          <w:szCs w:val="20"/>
          <w:color w:val="auto"/>
        </w:rPr>
      </w:pPr>
    </w:p>
    <w:p>
      <w:pPr>
        <w:ind w:left="20" w:right="240" w:firstLine="318"/>
        <w:spacing w:after="0" w:line="251" w:lineRule="auto"/>
        <w:rPr>
          <w:sz w:val="20"/>
          <w:szCs w:val="20"/>
          <w:color w:val="auto"/>
        </w:rPr>
      </w:pPr>
      <w:r>
        <w:rPr>
          <w:rFonts w:ascii="Times New Roman" w:cs="Times New Roman" w:eastAsia="Times New Roman" w:hAnsi="Times New Roman"/>
          <w:sz w:val="18"/>
          <w:szCs w:val="18"/>
          <w:color w:val="auto"/>
        </w:rPr>
        <w:t>As a result, it may not be possible for shareholders to effect service of process within the United States upon us or our management board members, supervisory board members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management board members, supervisory board members and executive officers in an original action based solely upon the federal securities laws of the United States brought in a court of competent jurisdiction in The Netherlands.</w:t>
      </w:r>
    </w:p>
    <w:p>
      <w:pPr>
        <w:spacing w:after="0" w:line="187" w:lineRule="exact"/>
        <w:rPr>
          <w:sz w:val="20"/>
          <w:szCs w:val="20"/>
          <w:color w:val="auto"/>
        </w:rPr>
      </w:pPr>
    </w:p>
    <w:p>
      <w:pPr>
        <w:ind w:left="20" w:firstLine="318"/>
        <w:spacing w:after="0" w:line="263" w:lineRule="auto"/>
        <w:rPr>
          <w:sz w:val="20"/>
          <w:szCs w:val="20"/>
          <w:color w:val="auto"/>
        </w:rPr>
      </w:pPr>
      <w:r>
        <w:rPr>
          <w:rFonts w:ascii="Times New Roman" w:cs="Times New Roman" w:eastAsia="Times New Roman" w:hAnsi="Times New Roman"/>
          <w:sz w:val="17"/>
          <w:szCs w:val="17"/>
          <w:color w:val="auto"/>
        </w:rPr>
        <w:t xml:space="preserve">As of the date of this prospectus, the United States and The Netherlands do not have a treaty providing for the reciprocal recognition and enforcement of judgments, other than arbitration awards, in civil and commercial matters. With respect to choice of court agreements in civil or commercial matters, it is noted that the Hague Convention on Choice of Court Agreements entered into force for The Netherlands, but has not entered into force for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a foreign judgment if (i) </w:t>
      </w:r>
      <w:r>
        <w:rPr>
          <w:rFonts w:ascii="Times New Roman" w:cs="Times New Roman" w:eastAsia="Times New Roman" w:hAnsi="Times New Roman"/>
          <w:sz w:val="17"/>
          <w:szCs w:val="17"/>
          <w:color w:val="231F20"/>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jurisdiction of the foreign court was based on a ground of jurisdiction that is generally acceptable according to international standards,</w:t>
      </w:r>
    </w:p>
    <w:p>
      <w:pPr>
        <w:spacing w:after="0" w:line="4" w:lineRule="exact"/>
        <w:rPr>
          <w:sz w:val="20"/>
          <w:szCs w:val="20"/>
          <w:color w:val="auto"/>
        </w:rPr>
      </w:pPr>
    </w:p>
    <w:p>
      <w:pPr>
        <w:ind w:left="20" w:right="20"/>
        <w:spacing w:after="0" w:line="247" w:lineRule="auto"/>
        <w:tabs>
          <w:tab w:leader="none" w:pos="28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judgment by the foreign court was rendered in legal proceedings that comply with the Dutch standards of proper administration of justice including sufficient safeguards (</w:t>
      </w:r>
      <w:r>
        <w:rPr>
          <w:rFonts w:ascii="Times New Roman" w:cs="Times New Roman" w:eastAsia="Times New Roman" w:hAnsi="Times New Roman"/>
          <w:sz w:val="18"/>
          <w:szCs w:val="18"/>
          <w:i w:val="1"/>
          <w:iCs w:val="1"/>
          <w:color w:val="231F20"/>
        </w:rPr>
        <w:t>behoorlijke rechtspleging</w:t>
      </w:r>
      <w:r>
        <w:rPr>
          <w:rFonts w:ascii="Times New Roman" w:cs="Times New Roman" w:eastAsia="Times New Roman" w:hAnsi="Times New Roman"/>
          <w:sz w:val="18"/>
          <w:szCs w:val="18"/>
          <w:color w:val="231F20"/>
        </w:rPr>
        <w:t>), (iii) binding effect of such foreign judgment is not contrary to Dutch public order (</w:t>
      </w:r>
      <w:r>
        <w:rPr>
          <w:rFonts w:ascii="Times New Roman" w:cs="Times New Roman" w:eastAsia="Times New Roman" w:hAnsi="Times New Roman"/>
          <w:sz w:val="18"/>
          <w:szCs w:val="18"/>
          <w:i w:val="1"/>
          <w:iCs w:val="1"/>
          <w:color w:val="231F20"/>
        </w:rPr>
        <w:t>openbare orde</w:t>
      </w:r>
      <w:r>
        <w:rPr>
          <w:rFonts w:ascii="Times New Roman" w:cs="Times New Roman" w:eastAsia="Times New Roman" w:hAnsi="Times New Roman"/>
          <w:sz w:val="18"/>
          <w:szCs w:val="18"/>
          <w:color w:val="231F20"/>
        </w:rPr>
        <w:t xml:space="preserve">) and (iv) the judgment by the foreign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foreign judgment is </w:t>
      </w:r>
      <w:r>
        <w:rPr>
          <w:rFonts w:ascii="Times New Roman" w:cs="Times New Roman" w:eastAsia="Times New Roman" w:hAnsi="Times New Roman"/>
          <w:sz w:val="18"/>
          <w:szCs w:val="18"/>
          <w:color w:val="000000"/>
        </w:rPr>
        <w:t>given binding effect, a claim based thereon may, however, still be rejected if the foreign judgment is not or no longer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formally enforceable.</w:t>
      </w:r>
    </w:p>
    <w:p>
      <w:pPr>
        <w:spacing w:after="0" w:line="188" w:lineRule="exact"/>
        <w:rPr>
          <w:sz w:val="20"/>
          <w:szCs w:val="20"/>
          <w:color w:val="auto"/>
        </w:rPr>
      </w:pPr>
    </w:p>
    <w:p>
      <w:pPr>
        <w:ind w:left="20" w:right="160" w:firstLine="318"/>
        <w:spacing w:after="0" w:line="255" w:lineRule="auto"/>
        <w:rPr>
          <w:sz w:val="20"/>
          <w:szCs w:val="20"/>
          <w:color w:val="auto"/>
        </w:rPr>
      </w:pPr>
      <w:r>
        <w:rPr>
          <w:rFonts w:ascii="Times New Roman" w:cs="Times New Roman" w:eastAsia="Times New Roman" w:hAnsi="Times New Roman"/>
          <w:sz w:val="18"/>
          <w:szCs w:val="18"/>
          <w:color w:val="auto"/>
        </w:rPr>
        <w:t>Based on the lack of a treaty as described above, U.S. investors may not be able to enforce against us or our management board members, supervisory board members,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82" w:lineRule="exact"/>
        <w:rPr>
          <w:sz w:val="20"/>
          <w:szCs w:val="20"/>
          <w:color w:val="auto"/>
        </w:rPr>
      </w:pPr>
    </w:p>
    <w:p>
      <w:pPr>
        <w:ind w:left="20" w:right="20" w:firstLine="318"/>
        <w:spacing w:after="0" w:line="250" w:lineRule="auto"/>
        <w:rPr>
          <w:sz w:val="20"/>
          <w:szCs w:val="20"/>
          <w:color w:val="auto"/>
        </w:rPr>
      </w:pPr>
      <w:r>
        <w:rPr>
          <w:rFonts w:ascii="Times New Roman" w:cs="Times New Roman" w:eastAsia="Times New Roman" w:hAnsi="Times New Roman"/>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89" w:lineRule="exact"/>
        <w:rPr>
          <w:sz w:val="20"/>
          <w:szCs w:val="20"/>
          <w:color w:val="auto"/>
        </w:rPr>
      </w:pPr>
    </w:p>
    <w:p>
      <w:pPr>
        <w:ind w:left="20" w:right="40" w:firstLine="318"/>
        <w:spacing w:after="0" w:line="249" w:lineRule="auto"/>
        <w:rPr>
          <w:sz w:val="20"/>
          <w:szCs w:val="20"/>
          <w:color w:val="auto"/>
        </w:rPr>
      </w:pPr>
      <w:r>
        <w:rPr>
          <w:rFonts w:ascii="Times New Roman" w:cs="Times New Roman" w:eastAsia="Times New Roman" w:hAnsi="Times New Roman"/>
          <w:sz w:val="18"/>
          <w:szCs w:val="18"/>
          <w:color w:val="auto"/>
        </w:rPr>
        <w:t>In addition, actions brought in a German court against us, our management board and supervisory board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and supervisory board and the experts named in this prospectus.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299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9535"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Implications of Being an Emerging Growth Company</w:t>
      </w:r>
    </w:p>
    <w:p>
      <w:pPr>
        <w:spacing w:after="0" w:line="222" w:lineRule="exact"/>
        <w:rPr>
          <w:sz w:val="20"/>
          <w:szCs w:val="20"/>
          <w:color w:val="auto"/>
        </w:rPr>
      </w:pPr>
    </w:p>
    <w:p>
      <w:pPr>
        <w:ind w:left="20" w:right="240" w:firstLine="318"/>
        <w:spacing w:after="0" w:line="260"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176" w:lineRule="exact"/>
        <w:rPr>
          <w:sz w:val="20"/>
          <w:szCs w:val="20"/>
          <w:color w:val="auto"/>
        </w:rPr>
      </w:pPr>
    </w:p>
    <w:p>
      <w:pPr>
        <w:ind w:left="680" w:hanging="315"/>
        <w:spacing w:after="0" w:line="260" w:lineRule="auto"/>
        <w:tabs>
          <w:tab w:leader="none" w:pos="68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exemption from the auditor attestation requirement in the assessment of our internal control over financial reporting pursuant to the Sarbanes-Oxley Act of 2002, as amended (the “Sarbanes-Oxley Act”), which would otherwise be applicable beginning with our second annual report following consummation of this offering;</w:t>
      </w:r>
    </w:p>
    <w:p>
      <w:pPr>
        <w:spacing w:after="0" w:line="176" w:lineRule="exact"/>
        <w:rPr>
          <w:rFonts w:ascii="Times New Roman" w:cs="Times New Roman" w:eastAsia="Times New Roman" w:hAnsi="Times New Roman"/>
          <w:sz w:val="18"/>
          <w:szCs w:val="18"/>
          <w:color w:val="231F20"/>
        </w:rPr>
      </w:pPr>
    </w:p>
    <w:p>
      <w:pPr>
        <w:ind w:left="680" w:right="240" w:hanging="315"/>
        <w:spacing w:after="0" w:line="260" w:lineRule="auto"/>
        <w:tabs>
          <w:tab w:leader="none" w:pos="68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 and</w:t>
      </w:r>
    </w:p>
    <w:p>
      <w:pPr>
        <w:spacing w:after="0" w:line="176" w:lineRule="exact"/>
        <w:rPr>
          <w:rFonts w:ascii="Times New Roman" w:cs="Times New Roman" w:eastAsia="Times New Roman" w:hAnsi="Times New Roman"/>
          <w:sz w:val="18"/>
          <w:szCs w:val="18"/>
          <w:color w:val="231F20"/>
        </w:rPr>
      </w:pPr>
    </w:p>
    <w:p>
      <w:pPr>
        <w:ind w:left="680" w:right="260" w:hanging="315"/>
        <w:spacing w:after="0" w:line="253" w:lineRule="auto"/>
        <w:tabs>
          <w:tab w:leader="none" w:pos="68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exemption from compliance with the requirement that the Public Company Accounting Oversight Board has adopted that would otherwise require our independent registered public accounting firm to communicate “critical accounting matters” in its report. A critical accounting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82" w:lineRule="exact"/>
        <w:rPr>
          <w:sz w:val="20"/>
          <w:szCs w:val="20"/>
          <w:color w:val="auto"/>
        </w:rPr>
      </w:pPr>
    </w:p>
    <w:p>
      <w:pPr>
        <w:ind w:left="20" w:right="20" w:firstLine="318"/>
        <w:spacing w:after="0" w:line="251"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following the completion of our IPO or such earlier time that we are no longer an emerging growth company. We would cease to be an emerging growth company if we have more than $1.235 billion in annual revenue, have more than $700 million in market capitalization of our shares held by non-affiliates, or issue more than $1.0 billion of non-convertible debt over a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Implications of Being a Foreign Private Issuer</w:t>
      </w:r>
    </w:p>
    <w:p>
      <w:pPr>
        <w:spacing w:after="0" w:line="222" w:lineRule="exact"/>
        <w:rPr>
          <w:sz w:val="20"/>
          <w:szCs w:val="20"/>
          <w:color w:val="auto"/>
        </w:rPr>
      </w:pPr>
    </w:p>
    <w:p>
      <w:pPr>
        <w:ind w:left="20" w:right="300" w:firstLine="318"/>
        <w:spacing w:after="0" w:line="260"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76" w:lineRule="exact"/>
        <w:rPr>
          <w:sz w:val="20"/>
          <w:szCs w:val="20"/>
          <w:color w:val="auto"/>
        </w:rPr>
      </w:pPr>
    </w:p>
    <w:p>
      <w:pPr>
        <w:ind w:left="680" w:hanging="315"/>
        <w:spacing w:after="0"/>
        <w:tabs>
          <w:tab w:leader="none" w:pos="680" w:val="left"/>
        </w:tabs>
        <w:numPr>
          <w:ilvl w:val="0"/>
          <w:numId w:val="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rules under the Exchange Act requiring domestic filers to issue financial statements prepared in accordance with U.S. GAAP;</w:t>
      </w:r>
    </w:p>
    <w:p>
      <w:pPr>
        <w:spacing w:after="0" w:line="229" w:lineRule="exact"/>
        <w:rPr>
          <w:rFonts w:ascii="Times New Roman" w:cs="Times New Roman" w:eastAsia="Times New Roman" w:hAnsi="Times New Roman"/>
          <w:sz w:val="17"/>
          <w:szCs w:val="17"/>
          <w:color w:val="231F20"/>
        </w:rPr>
      </w:pPr>
    </w:p>
    <w:p>
      <w:pPr>
        <w:ind w:left="680" w:right="700" w:hanging="315"/>
        <w:spacing w:after="0" w:line="274" w:lineRule="auto"/>
        <w:tabs>
          <w:tab w:leader="none" w:pos="68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sections of the Exchange Act regulating the solicitation of proxies, consents or authorizations in respect of a security registered under the Exchange Act;</w:t>
      </w:r>
    </w:p>
    <w:p>
      <w:pPr>
        <w:spacing w:after="0" w:line="164" w:lineRule="exact"/>
        <w:rPr>
          <w:rFonts w:ascii="Times New Roman" w:cs="Times New Roman" w:eastAsia="Times New Roman" w:hAnsi="Times New Roman"/>
          <w:sz w:val="18"/>
          <w:szCs w:val="18"/>
          <w:color w:val="231F20"/>
        </w:rPr>
      </w:pPr>
    </w:p>
    <w:p>
      <w:pPr>
        <w:ind w:left="680" w:right="540" w:hanging="315"/>
        <w:spacing w:after="0" w:line="274" w:lineRule="auto"/>
        <w:tabs>
          <w:tab w:leader="none" w:pos="68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sections of the Exchange Act requiring insiders to file public reports of their stock ownership and trading activities and establishing liability for insiders who profit from trades made in a short period of time; and</w:t>
      </w:r>
    </w:p>
    <w:p>
      <w:pPr>
        <w:spacing w:after="0" w:line="164" w:lineRule="exact"/>
        <w:rPr>
          <w:rFonts w:ascii="Times New Roman" w:cs="Times New Roman" w:eastAsia="Times New Roman" w:hAnsi="Times New Roman"/>
          <w:sz w:val="18"/>
          <w:szCs w:val="18"/>
          <w:color w:val="231F20"/>
        </w:rPr>
      </w:pPr>
    </w:p>
    <w:p>
      <w:pPr>
        <w:ind w:left="680" w:right="260" w:hanging="315"/>
        <w:spacing w:after="0" w:line="304" w:lineRule="auto"/>
        <w:tabs>
          <w:tab w:leader="none" w:pos="680" w:val="left"/>
        </w:tabs>
        <w:numPr>
          <w:ilvl w:val="0"/>
          <w:numId w:val="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142" w:lineRule="exact"/>
        <w:rPr>
          <w:sz w:val="20"/>
          <w:szCs w:val="20"/>
          <w:color w:val="auto"/>
        </w:rPr>
      </w:pPr>
    </w:p>
    <w:p>
      <w:pPr>
        <w:jc w:val="both"/>
        <w:ind w:left="20" w:right="160" w:firstLine="318"/>
        <w:spacing w:after="0" w:line="260" w:lineRule="auto"/>
        <w:rPr>
          <w:sz w:val="20"/>
          <w:szCs w:val="20"/>
          <w:color w:val="auto"/>
        </w:rPr>
      </w:pPr>
      <w:r>
        <w:rPr>
          <w:rFonts w:ascii="Times New Roman" w:cs="Times New Roman" w:eastAsia="Times New Roman" w:hAnsi="Times New Roman"/>
          <w:sz w:val="18"/>
          <w:szCs w:val="18"/>
          <w:color w:val="auto"/>
        </w:rPr>
        <w:t>We are required to file with the SEC, within four months after the end of each fiscal year, or such applicable time as required by the SEC, an annual report on Form 20-F containing consolidated financial statements audited by an independent registered public accounting firm.</w:t>
      </w:r>
    </w:p>
    <w:p>
      <w:pPr>
        <w:spacing w:after="0" w:line="176" w:lineRule="exact"/>
        <w:rPr>
          <w:sz w:val="20"/>
          <w:szCs w:val="20"/>
          <w:color w:val="auto"/>
        </w:rPr>
      </w:pPr>
    </w:p>
    <w:p>
      <w:pPr>
        <w:ind w:left="20" w:right="20" w:firstLine="318"/>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of record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For purposes of determining whether more than 50% of our outstanding voting securities are held by U.S. residents, we intend to look</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1369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9535" cy="136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line="274" w:lineRule="auto"/>
        <w:rPr>
          <w:sz w:val="20"/>
          <w:szCs w:val="20"/>
          <w:color w:val="auto"/>
        </w:rPr>
      </w:pPr>
      <w:r>
        <w:rPr>
          <w:rFonts w:ascii="Times New Roman" w:cs="Times New Roman" w:eastAsia="Times New Roman" w:hAnsi="Times New Roman"/>
          <w:sz w:val="18"/>
          <w:szCs w:val="18"/>
          <w:color w:val="auto"/>
        </w:rPr>
        <w:t>to whether more than 50% of the voting power of our ordinary shares and high voting shares on a combined basis are directly or indirectly held of record by residents of the United States.</w:t>
      </w:r>
    </w:p>
    <w:p>
      <w:pPr>
        <w:spacing w:after="0" w:line="164" w:lineRule="exact"/>
        <w:rPr>
          <w:sz w:val="20"/>
          <w:szCs w:val="20"/>
          <w:color w:val="auto"/>
        </w:rPr>
      </w:pPr>
    </w:p>
    <w:p>
      <w:pPr>
        <w:ind w:left="20" w:right="60" w:firstLine="318"/>
        <w:spacing w:after="0" w:line="255"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extensive executive compensation disclosure rules. Thus, even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745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39535" cy="774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900"/>
          </w:cols>
          <w:pgMar w:left="980" w:top="121" w:right="101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Ordinary Shares offered by the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Ordinary Shares outstanding as of October 6, 2022:</w:t>
      </w:r>
    </w:p>
    <w:p>
      <w:pPr>
        <w:spacing w:after="0" w:line="151" w:lineRule="exact"/>
        <w:rPr>
          <w:sz w:val="20"/>
          <w:szCs w:val="20"/>
          <w:color w:val="auto"/>
        </w:rPr>
      </w:pPr>
    </w:p>
    <w:p>
      <w:pPr>
        <w:ind w:left="160" w:hanging="126"/>
        <w:spacing w:after="0" w:line="261" w:lineRule="auto"/>
        <w:rPr>
          <w:sz w:val="20"/>
          <w:szCs w:val="20"/>
          <w:color w:val="auto"/>
        </w:rPr>
      </w:pPr>
      <w:r>
        <w:rPr>
          <w:rFonts w:ascii="Times New Roman" w:cs="Times New Roman" w:eastAsia="Times New Roman" w:hAnsi="Times New Roman"/>
          <w:sz w:val="18"/>
          <w:szCs w:val="18"/>
          <w:b w:val="1"/>
          <w:bCs w:val="1"/>
          <w:color w:val="auto"/>
        </w:rPr>
        <w:t>Ordinary Shares outstanding as of October 6, 2022 after giving effect to the issuance of the shares registered hereunder:</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This prospectus relates to the offer and sale of up to 14,138,867 ordinary shares by the Selling Shareholder, which we may, at our election, issue and sell to the Selling Shareholder pursuant to the Purchase Agreement from time to time after the Commencement Date, subject to satisfaction of specified conditions set forth in the Purchase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 Berenberg, Gossler &amp; Co. KG.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84,868,774 ordinary shares.</w:t>
      </w:r>
    </w:p>
    <w:p>
      <w:pPr>
        <w:spacing w:after="0" w:line="151"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99,007,641 ordinary shares, assuming all of the shares covered by this prospectus are actually sold.</w:t>
      </w:r>
    </w:p>
    <w:p>
      <w:pPr>
        <w:spacing w:after="0" w:line="3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will not receive any proceeds from the sales of ordinary shares by the Selling Shareholder pursuant to this prospectus. However, we may receive up to $150,000,000 in aggregate gross proceeds from sales of our ordinary shares to the Selling Shareholder that we may, in our discretion, elect to make, from time to time after the date of this prospectus, pursuant to the Purchase Agreement.</w:t>
      </w:r>
    </w:p>
    <w:p>
      <w:pPr>
        <w:spacing w:after="0" w:line="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net proceeds from sales, if any, under the Purchase Agreement, will depend on the frequency and prices at which we sell ordinary shares to the Selling Shareholder after the date of this prospectus. We currently expect that we will need at least €242 million in external funding until start of production. To the extent we sell ordinary shares to the Selling Shareholder, we intend to use any proceeds therefrom to cover some of the external funding needed until the start of production.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The Selling Shareholder is an affiliate of Berenberg Capital Markets LLC (“Berenberg”), a member of the Financial Industry Regulatory Authority, Inc. (“FINRA”). Berenberg is expected to act as an executing broker for the sale of the ordinary shares by the Selling Shareholder pursuant to the Committed Equity Financing. The receipt by the Selling Shareholder of all the proceeds from sales of ordinary shares to the public results in a “conflict of interest” under FINRA Rule 5121. Accordingly such sales will be conducted in compliance with FINRA Rule 5121. To the extent that the ordinary shares do not have a “bona fide public market,” as defined in FINRA Rule 5121, a qualified independent underwriter will participate in the preparation of, and exercise the usual standards of “due diligence” with respect to, the registration statement. Craig-Hallum Capital Group LLC has agreed to act as qualified independent underwriter for this offering. Pursuant to FINRA Rule 5121, Berenberg will not confirm sales of the ordinary shares to any account over which it exercises discretionary authority without the prior written approval of the customer. See “</w:t>
      </w:r>
      <w:r>
        <w:rPr>
          <w:rFonts w:ascii="Times New Roman" w:cs="Times New Roman" w:eastAsia="Times New Roman" w:hAnsi="Times New Roman"/>
          <w:sz w:val="17"/>
          <w:szCs w:val="17"/>
          <w:i w:val="1"/>
          <w:iCs w:val="1"/>
          <w:color w:val="auto"/>
        </w:rPr>
        <w:t>Plan of Distribution (Conflicts of Interest)</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Our ordinary shares are listed for trading on The Nasdaq Global Market under the symbol “SEV.”</w:t>
      </w:r>
    </w:p>
    <w:p>
      <w:pPr>
        <w:spacing w:after="0" w:line="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in this prospectus for a discussion of factors you should carefully consider before deciding to invest in our ordinary shares.</w:t>
      </w:r>
    </w:p>
    <w:p>
      <w:pPr>
        <w:spacing w:after="0" w:line="200" w:lineRule="exact"/>
        <w:rPr>
          <w:sz w:val="20"/>
          <w:szCs w:val="20"/>
          <w:color w:val="auto"/>
        </w:rPr>
      </w:pPr>
    </w:p>
    <w:p>
      <w:pPr>
        <w:sectPr>
          <w:pgSz w:w="11900" w:h="16838" w:orient="portrait"/>
          <w:cols w:equalWidth="0" w:num="2">
            <w:col w:w="4240" w:space="700"/>
            <w:col w:w="4960"/>
          </w:cols>
          <w:pgMar w:left="980" w:top="121" w:right="10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7037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39535"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0" w:lineRule="exact"/>
        <w:rPr>
          <w:sz w:val="20"/>
          <w:szCs w:val="20"/>
          <w:color w:val="auto"/>
        </w:rPr>
      </w:pPr>
    </w:p>
    <w:p>
      <w:pPr>
        <w:ind w:left="20" w:right="60" w:firstLine="318"/>
        <w:spacing w:after="0" w:line="266" w:lineRule="auto"/>
        <w:rPr>
          <w:sz w:val="20"/>
          <w:szCs w:val="20"/>
          <w:color w:val="auto"/>
        </w:rPr>
      </w:pPr>
      <w:r>
        <w:rPr>
          <w:rFonts w:ascii="Times New Roman" w:cs="Times New Roman" w:eastAsia="Times New Roman" w:hAnsi="Times New Roman"/>
          <w:sz w:val="17"/>
          <w:szCs w:val="17"/>
          <w:color w:val="auto"/>
        </w:rPr>
        <w:t>We present a summary of historical financial data of Sono Group N.V. below. The financial data as of and for the years ended December 31, 2021, December 31, 2020 and December 31, 2019 has been taken or derived from our consolidated financial statements and the related notes thereto, which are included elsewhere in this prospectus and which have been prepared in accordance with IFRS as issued by the IASB. The financial data as of and for the six months ended June 30, 2022 and June 30, 2021 has been taken or derived from our interim condensed consolidated financial statements and the related notes thereto, which are included elsewhere in this prospectus and which have been prepared in accordance with IFRS as issued by the IASB and in particular IAS 34 Interim Financial Reporting. The accounting principles applied in the interim condensed consolidated financial statements are consistent with those used for the preparation of the consolidated financial statements as of and for the years ended December 31, 2021, December 31, 2020 and December 31, 2019.</w:t>
      </w:r>
    </w:p>
    <w:p>
      <w:pPr>
        <w:spacing w:after="0" w:line="177" w:lineRule="exact"/>
        <w:rPr>
          <w:sz w:val="20"/>
          <w:szCs w:val="20"/>
          <w:color w:val="auto"/>
        </w:rPr>
      </w:pPr>
    </w:p>
    <w:p>
      <w:pPr>
        <w:jc w:val="both"/>
        <w:ind w:left="20" w:right="40" w:firstLine="318"/>
        <w:spacing w:after="0" w:line="255" w:lineRule="auto"/>
        <w:rPr>
          <w:sz w:val="20"/>
          <w:szCs w:val="20"/>
          <w:color w:val="auto"/>
        </w:rPr>
      </w:pPr>
      <w:r>
        <w:rPr>
          <w:rFonts w:ascii="Times New Roman" w:cs="Times New Roman" w:eastAsia="Times New Roman" w:hAnsi="Times New Roman"/>
          <w:sz w:val="18"/>
          <w:szCs w:val="18"/>
          <w:color w:val="auto"/>
        </w:rPr>
        <w:t>The summary of historical financial data presented below are not necessarily indicative of the financial results for future periods. The summary of historical financial data below do not contain all the information included in our consolidated financial statements. You should read this information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our consolidated financial statements and the related notes thereto, each included elsewhere in this prospectus.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Profit or Loss and Other Comprehensive Income</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1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84"/>
        </w:trPr>
        <w:tc>
          <w:tcPr>
            <w:tcW w:w="2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9"/>
        </w:trPr>
        <w:tc>
          <w:tcPr>
            <w:tcW w:w="2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79"/>
        </w:trPr>
        <w:tc>
          <w:tcPr>
            <w:tcW w:w="2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 € millions)</w:t>
            </w:r>
          </w:p>
        </w:tc>
        <w:tc>
          <w:tcPr>
            <w:tcW w:w="11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gridSpan w:val="2"/>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(in € millions)</w:t>
            </w:r>
          </w:p>
        </w:tc>
        <w:tc>
          <w:tcPr>
            <w:tcW w:w="40" w:type="dxa"/>
            <w:vAlign w:val="bottom"/>
          </w:tcPr>
          <w:p>
            <w:pPr>
              <w:spacing w:after="0"/>
              <w:rPr>
                <w:sz w:val="15"/>
                <w:szCs w:val="15"/>
                <w:color w:val="auto"/>
              </w:rPr>
            </w:pPr>
          </w:p>
        </w:tc>
      </w:tr>
      <w:tr>
        <w:trPr>
          <w:trHeight w:val="22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(0.1)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research and development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(40.6)</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(30.5)</w:t>
            </w:r>
          </w:p>
        </w:tc>
        <w:tc>
          <w:tcPr>
            <w:tcW w:w="12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6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(53.1)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(9.1)</w:t>
            </w:r>
          </w:p>
        </w:tc>
        <w:tc>
          <w:tcPr>
            <w:tcW w:w="12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(15.1)</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(14.4)</w:t>
            </w:r>
          </w:p>
        </w:tc>
        <w:tc>
          <w:tcPr>
            <w:tcW w:w="12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6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(7.6)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2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1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19"/>
                <w:szCs w:val="19"/>
                <w:color w:val="auto"/>
              </w:rPr>
            </w:pPr>
          </w:p>
        </w:tc>
      </w:tr>
      <w:tr>
        <w:trPr>
          <w:trHeight w:val="22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 on financial assets</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2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(59.2)</w:t>
            </w:r>
          </w:p>
        </w:tc>
        <w:tc>
          <w:tcPr>
            <w:tcW w:w="1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(54.0)</w:t>
            </w:r>
          </w:p>
        </w:tc>
        <w:tc>
          <w:tcPr>
            <w:tcW w:w="12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(60.1)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w:t>
            </w:r>
          </w:p>
        </w:tc>
      </w:tr>
      <w:tr>
        <w:trPr>
          <w:trHeight w:val="22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(4.8)</w:t>
            </w:r>
          </w:p>
        </w:tc>
        <w:tc>
          <w:tcPr>
            <w:tcW w:w="1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(0.9)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(63.9)</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(56.0)</w:t>
            </w:r>
          </w:p>
        </w:tc>
        <w:tc>
          <w:tcPr>
            <w:tcW w:w="12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19"/>
                <w:szCs w:val="19"/>
                <w:color w:val="auto"/>
              </w:rPr>
            </w:pPr>
          </w:p>
        </w:tc>
        <w:tc>
          <w:tcPr>
            <w:tcW w:w="160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(61.0)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22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shd w:val="clear" w:color="auto" w:fill="CCEEFF"/>
          </w:tcPr>
          <w:p>
            <w:pPr>
              <w:spacing w:after="0"/>
              <w:rPr>
                <w:sz w:val="19"/>
                <w:szCs w:val="19"/>
                <w:color w:val="auto"/>
              </w:rPr>
            </w:pPr>
          </w:p>
        </w:tc>
      </w:tr>
      <w:tr>
        <w:trPr>
          <w:trHeight w:val="22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2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(64.0)</w:t>
            </w:r>
          </w:p>
        </w:tc>
        <w:tc>
          <w:tcPr>
            <w:tcW w:w="1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(56.0)</w:t>
            </w:r>
          </w:p>
        </w:tc>
        <w:tc>
          <w:tcPr>
            <w:tcW w:w="12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(61.0)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20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that</w:t>
            </w: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will not be reclassified to profit or loss</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38"/>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(63.9)</w:t>
            </w:r>
          </w:p>
        </w:tc>
        <w:tc>
          <w:tcPr>
            <w:tcW w:w="1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(56.1)</w:t>
            </w:r>
          </w:p>
        </w:tc>
        <w:tc>
          <w:tcPr>
            <w:tcW w:w="12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(61.0)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22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per share in €</w:t>
            </w:r>
          </w:p>
        </w:tc>
        <w:tc>
          <w:tcPr>
            <w:tcW w:w="1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220" w:type="dxa"/>
            <w:vAlign w:val="bottom"/>
            <w:gridSpan w:val="2"/>
            <w:shd w:val="clear" w:color="auto" w:fill="CCEEFF"/>
          </w:tcPr>
          <w:p>
            <w:pPr>
              <w:ind w:left="200"/>
              <w:spacing w:after="0" w:line="226" w:lineRule="exact"/>
              <w:rPr>
                <w:sz w:val="20"/>
                <w:szCs w:val="20"/>
                <w:color w:val="auto"/>
              </w:rPr>
            </w:pPr>
            <w:r>
              <w:rPr>
                <w:rFonts w:ascii="Times New Roman" w:cs="Times New Roman" w:eastAsia="Times New Roman" w:hAnsi="Times New Roman"/>
                <w:sz w:val="18"/>
                <w:szCs w:val="18"/>
                <w:color w:val="auto"/>
              </w:rPr>
              <w:t>Basic/diluted</w:t>
            </w:r>
            <w:r>
              <w:rPr>
                <w:rFonts w:ascii="Times New Roman" w:cs="Times New Roman" w:eastAsia="Times New Roman" w:hAnsi="Times New Roman"/>
                <w:sz w:val="26"/>
                <w:szCs w:val="26"/>
                <w:color w:val="auto"/>
                <w:vertAlign w:val="superscript"/>
              </w:rPr>
              <w:t>(1)</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(1.07)/(1.07)</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(0.97)/(0.97)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(0.18)/(0.18)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(0.81)/(0.81)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(0.76)/(0.76)</w:t>
            </w:r>
          </w:p>
        </w:tc>
        <w:tc>
          <w:tcPr>
            <w:tcW w:w="40" w:type="dxa"/>
            <w:vAlign w:val="bottom"/>
            <w:shd w:val="clear" w:color="auto" w:fill="CCEEFF"/>
          </w:tcPr>
          <w:p>
            <w:pPr>
              <w:spacing w:after="0"/>
              <w:rPr>
                <w:sz w:val="19"/>
                <w:szCs w:val="19"/>
                <w:color w:val="auto"/>
              </w:rPr>
            </w:pPr>
          </w:p>
        </w:tc>
      </w:tr>
      <w:tr>
        <w:trPr>
          <w:trHeight w:val="205"/>
        </w:trPr>
        <w:tc>
          <w:tcPr>
            <w:tcW w:w="3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Weighted average number of share</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0"/>
        </w:trPr>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for calculation of earnings per share</w:t>
            </w: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2"/>
        </w:trPr>
        <w:tc>
          <w:tcPr>
            <w:tcW w:w="3220" w:type="dxa"/>
            <w:vAlign w:val="bottom"/>
            <w:gridSpan w:val="2"/>
            <w:shd w:val="clear" w:color="auto" w:fill="CCEEFF"/>
          </w:tcPr>
          <w:p>
            <w:pPr>
              <w:ind w:left="200"/>
              <w:spacing w:after="0" w:line="231" w:lineRule="exact"/>
              <w:rPr>
                <w:sz w:val="20"/>
                <w:szCs w:val="20"/>
                <w:color w:val="auto"/>
              </w:rPr>
            </w:pPr>
            <w:r>
              <w:rPr>
                <w:rFonts w:ascii="Times New Roman" w:cs="Times New Roman" w:eastAsia="Times New Roman" w:hAnsi="Times New Roman"/>
                <w:sz w:val="18"/>
                <w:szCs w:val="18"/>
                <w:color w:val="auto"/>
              </w:rPr>
              <w:t>Basic/diluted</w:t>
            </w:r>
            <w:r>
              <w:rPr>
                <w:rFonts w:ascii="Times New Roman" w:cs="Times New Roman" w:eastAsia="Times New Roman" w:hAnsi="Times New Roman"/>
                <w:sz w:val="26"/>
                <w:szCs w:val="26"/>
                <w:color w:val="auto"/>
                <w:vertAlign w:val="superscript"/>
              </w:rPr>
              <w:t>(1)</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59,836,824</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57,684,220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56,860,720</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75,544,645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32,367,901</w:t>
            </w:r>
          </w:p>
        </w:tc>
        <w:tc>
          <w:tcPr>
            <w:tcW w:w="40" w:type="dxa"/>
            <w:vAlign w:val="bottom"/>
            <w:shd w:val="clear" w:color="auto" w:fill="CCEEFF"/>
          </w:tcPr>
          <w:p>
            <w:pPr>
              <w:spacing w:after="0"/>
              <w:rPr>
                <w:sz w:val="20"/>
                <w:szCs w:val="20"/>
                <w:color w:val="auto"/>
              </w:rPr>
            </w:pPr>
          </w:p>
        </w:tc>
      </w:tr>
      <w:tr>
        <w:trPr>
          <w:trHeight w:val="106"/>
        </w:trPr>
        <w:tc>
          <w:tcPr>
            <w:tcW w:w="24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74" w:lineRule="exact"/>
        <w:rPr>
          <w:sz w:val="20"/>
          <w:szCs w:val="20"/>
          <w:color w:val="auto"/>
        </w:rPr>
      </w:pPr>
    </w:p>
    <w:p>
      <w:pPr>
        <w:jc w:val="both"/>
        <w:ind w:left="340" w:right="260" w:hanging="320"/>
        <w:spacing w:after="0" w:line="260" w:lineRule="auto"/>
        <w:tabs>
          <w:tab w:leader="none" w:pos="34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Please refer to Note 9.4 to the consolidated financial statements included in this prospectus for an explanation of the calculations of our basic and diluted net loss per share attributable to holders of our shares and the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349885</wp:posOffset>
            </wp:positionV>
            <wp:extent cx="6439535" cy="3542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9535"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Selected Cash Flow Statement Data</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40"/>
        </w:trPr>
        <w:tc>
          <w:tcPr>
            <w:tcW w:w="5280" w:type="dxa"/>
            <w:vAlign w:val="bottom"/>
          </w:tcPr>
          <w:p>
            <w:pPr>
              <w:spacing w:after="0"/>
              <w:rPr>
                <w:sz w:val="3"/>
                <w:szCs w:val="3"/>
                <w:color w:val="auto"/>
              </w:rPr>
            </w:pPr>
          </w:p>
        </w:tc>
        <w:tc>
          <w:tcPr>
            <w:tcW w:w="580" w:type="dxa"/>
            <w:vAlign w:val="bottom"/>
            <w:vMerge w:val="restart"/>
          </w:tcPr>
          <w:p>
            <w:pPr>
              <w:spacing w:after="0"/>
              <w:rPr>
                <w:sz w:val="3"/>
                <w:szCs w:val="3"/>
                <w:color w:val="auto"/>
              </w:rPr>
            </w:pPr>
          </w:p>
        </w:tc>
        <w:tc>
          <w:tcPr>
            <w:tcW w:w="200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line="20" w:lineRule="exact"/>
              <w:rPr>
                <w:sz w:val="1"/>
                <w:szCs w:val="1"/>
                <w:color w:val="auto"/>
              </w:rPr>
            </w:pPr>
          </w:p>
        </w:tc>
      </w:tr>
      <w:tr>
        <w:trPr>
          <w:trHeight w:val="121"/>
        </w:trPr>
        <w:tc>
          <w:tcPr>
            <w:tcW w:w="5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00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bottom w:val="single" w:sz="8" w:color="auto"/>
            </w:tcBorders>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7"/>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ind w:right="641"/>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(in €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(in € millions)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(59.0)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(24.0)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7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138.6</w:t>
            </w:r>
          </w:p>
        </w:tc>
        <w:tc>
          <w:tcPr>
            <w:tcW w:w="9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44.1</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38.3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89.8</w:t>
            </w: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42.9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(44.7)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7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43.3</w:t>
            </w:r>
          </w:p>
        </w:tc>
        <w:tc>
          <w:tcPr>
            <w:tcW w:w="9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0.4</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132.9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78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132.9</w:t>
            </w: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43.3</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89.8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18"/>
                <w:szCs w:val="18"/>
                <w:color w:val="auto"/>
              </w:rPr>
            </w:pPr>
          </w:p>
        </w:tc>
        <w:tc>
          <w:tcPr>
            <w:tcW w:w="240" w:type="dxa"/>
            <w:vAlign w:val="bottom"/>
            <w:gridSpan w:val="3"/>
            <w:vMerge w:val="restart"/>
          </w:tcPr>
          <w:p>
            <w:pPr>
              <w:spacing w:after="0"/>
              <w:rPr>
                <w:sz w:val="18"/>
                <w:szCs w:val="18"/>
                <w:color w:val="auto"/>
              </w:rPr>
            </w:pPr>
          </w:p>
        </w:tc>
        <w:tc>
          <w:tcPr>
            <w:tcW w:w="1260" w:type="dxa"/>
            <w:vAlign w:val="bottom"/>
            <w:vMerge w:val="restart"/>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40" w:type="dxa"/>
            <w:vAlign w:val="bottom"/>
            <w:gridSpan w:val="3"/>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auto"/>
            </w:tcBorders>
          </w:tcPr>
          <w:p>
            <w:pPr>
              <w:jc w:val="right"/>
              <w:ind w:right="174"/>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center"/>
              <w:ind w:left="321"/>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394"/>
              <w:spacing w:after="0" w:line="139" w:lineRule="exact"/>
              <w:rPr>
                <w:sz w:val="20"/>
                <w:szCs w:val="20"/>
                <w:color w:val="auto"/>
              </w:rPr>
            </w:pPr>
            <w:r>
              <w:rPr>
                <w:rFonts w:ascii="Times New Roman" w:cs="Times New Roman" w:eastAsia="Times New Roman" w:hAnsi="Times New Roman"/>
                <w:sz w:val="14"/>
                <w:szCs w:val="14"/>
                <w:b w:val="1"/>
                <w:bCs w:val="1"/>
                <w:color w:val="auto"/>
              </w:rPr>
              <w:t>(in € millions)</w:t>
            </w: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60" w:type="dxa"/>
            <w:vAlign w:val="bottom"/>
          </w:tcPr>
          <w:p>
            <w:pPr>
              <w:jc w:val="center"/>
              <w:ind w:left="321"/>
              <w:spacing w:after="0" w:line="139" w:lineRule="exact"/>
              <w:rPr>
                <w:sz w:val="20"/>
                <w:szCs w:val="20"/>
                <w:color w:val="auto"/>
              </w:rPr>
            </w:pPr>
            <w:r>
              <w:rPr>
                <w:rFonts w:ascii="Times New Roman" w:cs="Times New Roman" w:eastAsia="Times New Roman" w:hAnsi="Times New Roman"/>
                <w:sz w:val="14"/>
                <w:szCs w:val="14"/>
                <w:b w:val="1"/>
                <w:bCs w:val="1"/>
                <w:color w:val="auto"/>
                <w:w w:val="99"/>
              </w:rPr>
              <w:t>(in € millions)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142.4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147.3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83.4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63.9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and liabilities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147.3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351790</wp:posOffset>
            </wp:positionV>
            <wp:extent cx="64268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2683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8"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w:t>
      </w:r>
    </w:p>
    <w:p>
      <w:pPr>
        <w:spacing w:after="0" w:line="178"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the risks facing our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and future growth is dependent upon the market’s willingness to adopt solar electric vehicles.</w:t>
      </w:r>
    </w:p>
    <w:p>
      <w:pPr>
        <w:spacing w:after="0" w:line="222"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The demand for our vehicles will highly depend upon the demand for and adoption of electric vehicles in general and solar electric vehicles in particular. The market for electric vehicles, particularly solar electric vehicles, is still rapidly evolving, characterized by rapidly changing technologies, price and other competition, evolving government regulation and industry standards, as well as changing or uncertain consumer demands and behaviors. Factors that may influence the adoption of electric vehicles in general, and solar electric vehicles in particular, include:</w:t>
      </w:r>
    </w:p>
    <w:p>
      <w:pPr>
        <w:spacing w:after="0" w:line="182" w:lineRule="exact"/>
        <w:rPr>
          <w:sz w:val="20"/>
          <w:szCs w:val="20"/>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effectiveness of solar technology deployed in electric vehicles;</w:t>
      </w:r>
    </w:p>
    <w:p>
      <w:pPr>
        <w:spacing w:after="0" w:line="217" w:lineRule="exact"/>
        <w:rPr>
          <w:rFonts w:ascii="Times New Roman" w:cs="Times New Roman" w:eastAsia="Times New Roman" w:hAnsi="Times New Roman"/>
          <w:sz w:val="18"/>
          <w:szCs w:val="18"/>
          <w:color w:val="231F20"/>
        </w:rPr>
      </w:pPr>
    </w:p>
    <w:p>
      <w:pPr>
        <w:ind w:left="680" w:hanging="328"/>
        <w:spacing w:after="0" w:line="274" w:lineRule="auto"/>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electric vehicle quality, safety, design, performance and cost, especially if adverse events or accidents occur that are linked to the quality or safety of electric vehicles;</w:t>
      </w:r>
    </w:p>
    <w:p>
      <w:pPr>
        <w:spacing w:after="0" w:line="164" w:lineRule="exact"/>
        <w:rPr>
          <w:rFonts w:ascii="Times New Roman" w:cs="Times New Roman" w:eastAsia="Times New Roman" w:hAnsi="Times New Roman"/>
          <w:sz w:val="18"/>
          <w:szCs w:val="18"/>
          <w:color w:val="231F20"/>
        </w:rPr>
      </w:pPr>
    </w:p>
    <w:p>
      <w:pPr>
        <w:ind w:left="680" w:right="260" w:hanging="328"/>
        <w:spacing w:after="0" w:line="274" w:lineRule="auto"/>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vehicle safety in general, including the use of advanced technology, such as vehicle electronics, solar power, storage and regenerative braking systems;</w:t>
      </w:r>
    </w:p>
    <w:p>
      <w:pPr>
        <w:spacing w:after="0" w:line="164" w:lineRule="exact"/>
        <w:rPr>
          <w:rFonts w:ascii="Times New Roman" w:cs="Times New Roman" w:eastAsia="Times New Roman" w:hAnsi="Times New Roman"/>
          <w:sz w:val="18"/>
          <w:szCs w:val="18"/>
          <w:color w:val="231F20"/>
        </w:rPr>
      </w:pPr>
    </w:p>
    <w:p>
      <w:pPr>
        <w:ind w:left="680" w:right="460" w:hanging="328"/>
        <w:spacing w:after="0" w:line="274" w:lineRule="auto"/>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range limit over which electric vehicles may be driven on a single battery charge and the speed at which batteries can be recharged;</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technical innovations concerning battery capacity and ability to hold its charge;</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improvements in the fuel economy of internal combustion engines;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and service for electric vehicles;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environmental consciousness of consumers;</w:t>
      </w:r>
    </w:p>
    <w:p>
      <w:pPr>
        <w:spacing w:after="0" w:line="217" w:lineRule="exact"/>
        <w:rPr>
          <w:rFonts w:ascii="Times New Roman" w:cs="Times New Roman" w:eastAsia="Times New Roman" w:hAnsi="Times New Roman"/>
          <w:sz w:val="18"/>
          <w:szCs w:val="18"/>
          <w:color w:val="231F20"/>
        </w:rPr>
      </w:pPr>
    </w:p>
    <w:p>
      <w:pPr>
        <w:ind w:left="680" w:right="220" w:hanging="328"/>
        <w:spacing w:after="0" w:line="274" w:lineRule="auto"/>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to charging stations, standardization of electric vehicle charging systems and consumers’ perceptions about convenience and cost to charge an electric vehicle;</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relative cost of electricity, oil, gasoline and hydrogen;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regulations and economic incentives promoting fuel efficiency and alternate forms of energy;</w:t>
      </w:r>
    </w:p>
    <w:p>
      <w:pPr>
        <w:spacing w:after="0" w:line="217" w:lineRule="exact"/>
        <w:rPr>
          <w:rFonts w:ascii="Times New Roman" w:cs="Times New Roman" w:eastAsia="Times New Roman" w:hAnsi="Times New Roman"/>
          <w:sz w:val="18"/>
          <w:szCs w:val="18"/>
          <w:color w:val="231F20"/>
        </w:rPr>
      </w:pPr>
    </w:p>
    <w:p>
      <w:pPr>
        <w:ind w:left="680" w:right="220" w:hanging="328"/>
        <w:spacing w:after="0" w:line="274" w:lineRule="auto"/>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tax and other governmental incentives to purchase and operate electric vehicles or future regulation requiring increased use of nonpolluting vehicles; and</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macroeconomic factors.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While other car manufacturers such as Tesla, Inc., have successfully commercialized pure BEVs, electric vehicles with a self-recharging component based on solar modules have not yet been introduced into the car market and remain commercially unproven. The Sion, the solar electric vehicle we are currently developing, may therefore not be as well accepted by the market as expected or not accepted at all and may not be able to claim the market position we hope for.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vehicle technology may adversely affect the demand for solar electric vehicles.</w:t>
      </w:r>
    </w:p>
    <w:p>
      <w:pPr>
        <w:spacing w:after="0" w:line="222" w:lineRule="exact"/>
        <w:rPr>
          <w:sz w:val="20"/>
          <w:szCs w:val="20"/>
          <w:color w:val="auto"/>
        </w:rPr>
      </w:pPr>
    </w:p>
    <w:p>
      <w:pPr>
        <w:ind w:right="640" w:firstLine="318"/>
        <w:spacing w:after="0" w:line="274" w:lineRule="auto"/>
        <w:rPr>
          <w:sz w:val="20"/>
          <w:szCs w:val="20"/>
          <w:color w:val="auto"/>
        </w:rPr>
      </w:pPr>
      <w:r>
        <w:rPr>
          <w:rFonts w:ascii="Times New Roman" w:cs="Times New Roman" w:eastAsia="Times New Roman" w:hAnsi="Times New Roman"/>
          <w:sz w:val="18"/>
          <w:szCs w:val="18"/>
          <w:color w:val="auto"/>
        </w:rPr>
        <w:t>The automotive industry, particularly the e-mobility segment, is strongly technology driven and many established and new car manufacturers have entered or plan to enter the market for alternative fuel vehicles.</w:t>
      </w:r>
    </w:p>
    <w:p>
      <w:pPr>
        <w:spacing w:after="0" w:line="16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expect competition in our industry to intensify in the future in light of regulatory initiatives and promotion, advancement of and increased demand for alternative fuel technologies and continuing consolidation in the worldwide automotive industry. Significant developments in alternative technologies, such as hydrogen fuel cell technology or advanced diesel, ethanol, or compressed natural gas or improvements in the fuel economy of the internal combustion engine, may materially and adversely affect solar electric vehicles. Other fuels or sources of energy may emerge as customers’ preferred alternative to our vehicle platform. Developments in battery technology, such as solid state batteries, may make solar technology superfluous. Any such development could threaten the successful commercialization of solar electric vehicles. Any failure by us to develop new or enhanced technologies or processes, or to react to changes in existing technologies or innovations of competitors, could result in the loss of competitiveness, negatively impact revenue and lead to a loss of market share.</w:t>
      </w:r>
    </w:p>
    <w:p>
      <w:pPr>
        <w:spacing w:after="0" w:line="186"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automotive market is highly competitive and we may not be among the first to serve the mass market with an electric vehicle with solar power capability.</w:t>
      </w:r>
    </w:p>
    <w:p>
      <w:pPr>
        <w:spacing w:after="0" w:line="15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automotive market in general, and the automotive mass market in particular, are highly competitive and we are not the only company seeking to develop and offer a solar powered car. We believe that our solar module technology provides a competitive advantage and could, together with other factors, place us among the first to provide an electric vehicle (partly) powered by solar energy at a comparably low entry- price. However, numerous competitors strive to offer e-mobility affordable to the masses and several other market players are currently experimenting with solar charging technology, including manufacturers with established brands and significantly greater financial resources than us such as Tesla, Toyota and Lightyear. Some of our competitors benefit from greater financial resources, more extensive development, manufacturing, marketing and service capabilities, own manufacturing assets, greater brand recognition and a larger number of managerial and technical personnel. If competitors’ vehicles are brought to market at an affordable price or other material competitive (technological) advantage, we may experience a significant reduction in potential market share and reduction in expected revenue streams, which could impact our ability to successfully market the Sion or other models. Products from our competitors, particularly from low-cost electric car manufacturers, may successfully compete with or surpass the performance of our vehicles at more competitive prices.</w:t>
      </w:r>
    </w:p>
    <w:p>
      <w:pPr>
        <w:spacing w:after="0" w:line="193"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expect competition in our industry to intensify in the future, particularly in light of increased demand for alternative fuel and a regulatory push for electric vehicles (e.g., CO2 target emission regulations and tax or other monetary incentives), as well as declining battery prices. Continuing globalization may lead to additional potential competitors in emerging economies. Factors affecting competition include manufacturing efficiency, vehicle price, product quality, performance and features, design and styling, innovation and development time, reliability, safety, energy economy, charging options, customer service and financing terms. Increased competition may lead to lower vehicle unit sales and increased inventory, which may result in price pressure. We may not be able to successfully compete in our markets. For example, competitors may build affordable electric vehicles with solar power technology or may achieve other competitive advantages before us. If the Sion is not among the first to market, this could significantly impact our ability to successfully launch the Sion and establish the Sono brand. Even if the Sion is among the first to market, we cannot assure that customers will choose our vehicles over those of our competitors, or over traditional BEVs or fossil fuel powered vehicles.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in the automobile industry is highly volatile.</w:t>
      </w:r>
    </w:p>
    <w:p>
      <w:pPr>
        <w:spacing w:after="0" w:line="222"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 markets in which we plan to compete have been subject to considerable volatility in demand. Demand for automobile sales depends to a large extent on general, economic, political and social conditions in a given market and the introduction of new vehicles and technologies. Difficult macroeconomic conditions, such as decreases in per capita income and level of disposable income, increased and prolonged unemployment or a decline in consumer confidence as a result of the COVID-19 pandemic, as well as spending reductions by businesses, could have a material adverse effect on demand for our vehicles. As a new automobile manufacturer, we have significantly less financial resources than more established automobile manufacturers to withstand changes in the market and disruptions in demand or to maintain operations as we seek to reach establishment of our brands and significant sales.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Demand for electric vehicles may also be affected by factors directly impacting automobile prices or the cost of purchasing and operating automobiles such as sales and financing incentives, prices of raw materials, parts and components, cost of fuel and governmental regulations, including tariffs, import regulation and other taxes. Volatility in demand may lead to lower vehicle unit sales and increased inventory, which may result in downward price pressure and adversely affect our business, prospects, financial condition and results of operation.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16"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are an early-stage company with a history of significant losses and expect continuing losses for the foreseeable future, which lead to continued reliance on significant external financing and raise substantial doubt about our ability to continue as a going concern.</w:t>
      </w:r>
    </w:p>
    <w:p>
      <w:pPr>
        <w:spacing w:after="0" w:line="137"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We are in the process of developing a solar electric vehicle, the Sion. We are still in the pre-production phase of our vehicles and preparing for commercial production. While we seek to increase monetization of our technology, we do not expect to generate any material revenue from vehicle sales until the commercial serial production of our vehicles, which we currently plan to commence in the second half of 2023. Our result for the six months ended June 30, 2022 was a loss for the period of €61.0 million and our result for the year ended December 31, 2021 was a loss for the period of €63.9 million. We have incurred net losses since our inception in March 2016, resulting in an accumulated deficit of €208.1 million as of June 30, 2022 compared to €147.1 million as of December 31, 2021. We will continue to incur significant expenses as we expand and refine our technology, continue our development of the Sion and seek street certification. We will also incur expenses related to preparations for the commercialization of the Sion, increasing our sales and marketing activities with the goal of building our brand, and adding infrastructure and personnel to support our growth. In addition, we currently incur various expenses from, for example, general administrative functions, our headquarters and costs relating to being a public company. We will not be able to cover our expenses with revenues at least until such time at which we begin material deliveries of the Sion and significantly increase the scale of our operations. Reservations essentially lock-in the purchase price for reservation holders. Elevated inflation levels will mean that our production costs will increase, reducing our expected margins at least for those vehicles that are sold to reservation holders. Furthermore, we expect to incur additional substantial expenses in the foreseeable future as we intend to expand our business and product portfolio and invest in the design and development of new car models. These activities, which we consider vital to the development of our business, may result in prolonged losses. There is no guarantee that we will reach meaningful revenue levels or profitability or even that we will be able to continue as a going concern. Our ability to reach profitability in the future will not only depend on our ability to complete the development of and successfully commercialize the Sion but also on our ability to control our expenses and capital expenditures and manage our costs efficiently. If we are unable to achieve profitability, we may have to reduce the planned scale of our operations, which may impact our business growth and adversely affect our financial condition and results of operations. In addition, our continuous operation and our ability to continue as a going concern depend on our capability to obtain sufficient external equity or debt financing. If we do not succeed in doing so, we may need to curtail our operations, which could adversely affect our business, results of operations, financial position and cash flows.</w:t>
      </w:r>
    </w:p>
    <w:p>
      <w:pPr>
        <w:spacing w:after="0" w:line="194"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We expect to continue to generate operating losses for the foreseeable future until the start of production of the Sion and possibly later. While we seek to increase monetization of our technology, we do not anticipate that we will generate material commercial revenue or positive operating cash flows from vehicle sales of the Sion until the start of production or later.</w:t>
      </w:r>
    </w:p>
    <w:p>
      <w:pPr>
        <w:spacing w:after="0" w:line="176"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ability to continue as a going concern is largely dependent on our ability to raise additional funds through debt or equity transactions, additional advance payments, or other means, and ultimately, to achieve serial production of the Sion. It is uncertain if sufficient financing can be obtained to continue as a going concern and further to achieve serial production of the Sion. Please also refer to Note 3.1 to the interim condensed consolidated financial statements included in this prospectus.</w:t>
      </w:r>
    </w:p>
    <w:p>
      <w:pPr>
        <w:spacing w:after="0" w:line="182"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There is no historical basis for reliably assessing the demand for our vehicles, our ability to develop, manufacture, and deliver the Sion or any other car model that we may roll out in the future, and our future profitability. There can be no assurance that the Sion, or any other model that we may roll out in the future, will be commercially successful or that we will be able to scale our operations. We have no reliable basis for the prediction of our future revenues and to appropriately budget for our expenses, and we may have limited insight into future trends that may emerge and affect our business. We currently expect that we will need to spend at least €337 million, of which a bit more than half will be dedicated to capital expenditures between September 2022 and the second half of 2023, particularly for additional development activities until the start of serial production, and overhead costs during this period. The estimated costs and timelines that we have developed to reach commercial production of our vehicles are subject to inherent risks and uncertainties involved in the transition from a start-up company focused on development activities to the commercial-scale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manufacture and sale of vehicles in a mature industry. You should consider our business and prospects in light of the risks and challenges we face as a new entrant into our industry, including, but not limited to:</w:t>
      </w:r>
    </w:p>
    <w:p>
      <w:pPr>
        <w:spacing w:after="0" w:line="164" w:lineRule="exact"/>
        <w:rPr>
          <w:sz w:val="20"/>
          <w:szCs w:val="20"/>
          <w:color w:val="auto"/>
        </w:rPr>
      </w:pPr>
    </w:p>
    <w:p>
      <w:pPr>
        <w:ind w:left="680" w:right="260" w:hanging="328"/>
        <w:spacing w:after="0" w:line="274" w:lineRule="auto"/>
        <w:tabs>
          <w:tab w:leader="none" w:pos="6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launch the commercial production and sales of the Sion and to continuously advance our current and develop new technologies;</w:t>
      </w:r>
    </w:p>
    <w:p>
      <w:pPr>
        <w:spacing w:after="0" w:line="164" w:lineRule="exact"/>
        <w:rPr>
          <w:rFonts w:ascii="Times New Roman" w:cs="Times New Roman" w:eastAsia="Times New Roman" w:hAnsi="Times New Roman"/>
          <w:sz w:val="18"/>
          <w:szCs w:val="18"/>
          <w:color w:val="231F20"/>
        </w:rPr>
      </w:pPr>
    </w:p>
    <w:p>
      <w:pPr>
        <w:ind w:left="680" w:right="260" w:hanging="328"/>
        <w:spacing w:after="0" w:line="274" w:lineRule="auto"/>
        <w:tabs>
          <w:tab w:leader="none" w:pos="6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and manufacture safe, reliable and quality vehicles that appeal to customers, the challenges relating to the delivery and servicing of a large volume of vehicles;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raise funding and required to develop our business and reach commercial operation;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turn profitable and build a well-recognized and respected brand cost-effectively;</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expand our vehicle line-up and navigate the evolving regulatory environment;</w:t>
      </w:r>
    </w:p>
    <w:p>
      <w:pPr>
        <w:spacing w:after="0" w:line="217" w:lineRule="exact"/>
        <w:rPr>
          <w:rFonts w:ascii="Times New Roman" w:cs="Times New Roman" w:eastAsia="Times New Roman" w:hAnsi="Times New Roman"/>
          <w:sz w:val="18"/>
          <w:szCs w:val="18"/>
          <w:color w:val="231F20"/>
        </w:rPr>
      </w:pPr>
    </w:p>
    <w:p>
      <w:pPr>
        <w:ind w:left="680" w:right="320" w:hanging="328"/>
        <w:spacing w:after="0" w:line="274" w:lineRule="auto"/>
        <w:tabs>
          <w:tab w:leader="none" w:pos="6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improve and maintain our operational efficiency, set up and manage our supply chain efficiently and adapt to changing market conditions, including technological developments and changes in our competitive landscape; and</w:t>
      </w:r>
    </w:p>
    <w:p>
      <w:pPr>
        <w:spacing w:after="0" w:line="164" w:lineRule="exact"/>
        <w:rPr>
          <w:rFonts w:ascii="Times New Roman" w:cs="Times New Roman" w:eastAsia="Times New Roman" w:hAnsi="Times New Roman"/>
          <w:sz w:val="18"/>
          <w:szCs w:val="18"/>
          <w:color w:val="231F20"/>
        </w:rPr>
      </w:pPr>
    </w:p>
    <w:p>
      <w:pPr>
        <w:ind w:left="680" w:right="500" w:hanging="328"/>
        <w:spacing w:after="0" w:line="274" w:lineRule="auto"/>
        <w:tabs>
          <w:tab w:leader="none" w:pos="6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find the necessary qualified personnel, build up and scale functioning structures within our Company as well as manage our growth effectively.</w:t>
      </w:r>
    </w:p>
    <w:p>
      <w:pPr>
        <w:spacing w:after="0" w:line="16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vehicles is unproven and we may fail to finalize development and realize the commercialization of the Sion within the intended timeframe, budget or at all.</w:t>
      </w:r>
    </w:p>
    <w:p>
      <w:pPr>
        <w:spacing w:after="0" w:line="159"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Our success will depend in large part on our ability to execute our plans to develop and produce the Sion. The successful development of the Sion is and will be subject to various risks and it will be difficult for us to develop other car models. We will need to implement technology that ensures that solar modules placed in different locations of the body work well together. Our vehicles will incorporate various other complex components, which requires substantial engineering and development efforts. Our efforts may not be successful and we may not be able to realize all advertised specifications of the Sion such as, for example, the advertised battery range or daily solar based range of our vehicles or the bi-directional charging functionality. We will have to finalize development of the electric powertrain and its components, which will be crucial for the range capacities of our vehicles. We also need to finalize the development of our infotainment and driver information system, where we face issues obtaining sample components in sufficient quantity and in a timely manner due to lock-downs in China and limited availability of semiconductor chips. This limited availability of semiconductor chips could also impact our ability to reach the start of production on our anticipated timeline. We further have to secure the supply of necessary components on acceptable terms. Components will be sourced from a large number of suppliers and there can be assurance that these components work together seamlessly. We will also need to engage in substantive testing, collision and safety activities, which we have not yet started. In order to keep our timeline, some of these testing, collision and safety activities will have to take place in parallel, leaving little to no room for error. The Sion will need to pass relevant safety standards and will need to meet stringent and constantly evolving safety and road certification requirements, potentially in various jurisdictions, and there is no guarantee that our vehicles will receive the required street certification from relevant authorities. We will also need to ensure that our technology and specifications can be applied to serial production. For example, in the course of building our SVVs (generation 3), we became aware of risks associated with industrial-scale production of our body structure. While we believe that we have found a solution at limited additional cost and without significant impact on expected production capacity, there can be no assurance that our solution fully addresses the issues or that similar engineering issues will not emerge in the future. Given the complexities involved in developing and testing a solar electric vehicle for the mass market, there is no guarantee that we will be able to finalize the development of the Sion within the given timeframe or budget. Vehicle manufacturers often experience delays in the release of new products and any further delay in the financing, development or regulatory approval of our vehicles could materially damage our brand, business, prospects, financial condition, results of operations, and cash flows, and could lead to material liquidity constraints.</w:t>
      </w:r>
    </w:p>
    <w:p>
      <w:pPr>
        <w:spacing w:after="0" w:line="19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may even conclude that finalization of the development is not feasible and that we have to abandon the project, due to, for example, a change in the regulatory framework, lack of feasibility, engineering issues, lack of supplier capacity or availability, lack of customer demand or our inability to secure sufficient capital. In such a case, we may not be able to amortize any investments made until the relevant point in time at which such a decision is made. We may have invested significant resources and time into the development of the Sion, our technology or solutions and may also have entered into contractual arrangements with suppliers or other partners in such a context under which we may be subjected to continuous payment or other obligations irrespective of our decision 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60"/>
        <w:spacing w:after="0" w:line="274" w:lineRule="auto"/>
        <w:rPr>
          <w:sz w:val="20"/>
          <w:szCs w:val="20"/>
          <w:color w:val="auto"/>
        </w:rPr>
      </w:pPr>
      <w:r>
        <w:rPr>
          <w:rFonts w:ascii="Times New Roman" w:cs="Times New Roman" w:eastAsia="Times New Roman" w:hAnsi="Times New Roman"/>
          <w:sz w:val="18"/>
          <w:szCs w:val="18"/>
          <w:color w:val="auto"/>
        </w:rPr>
        <w:t>abandon the relevant underlying project. Any such decision to discontinue the development or offering of the Sion or any of our technologies or solutions would lead to significant losses.</w:t>
      </w:r>
    </w:p>
    <w:p>
      <w:pPr>
        <w:spacing w:after="0" w:line="164"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8"/>
          <w:szCs w:val="18"/>
          <w:color w:val="auto"/>
        </w:rPr>
        <w:t>Even if we finalize the Sion and launch series production, we may find engineering errors, defects or areas that need improvement. Also, technological changes or changes in supplier components may require us to change the Sion. There can be no assurance that we will be able to implement any such changes in a timely manner or that these changes will not trigger any follow-on issues.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initially depend largely on a single car model, the Sion.</w:t>
      </w:r>
    </w:p>
    <w:p>
      <w:pPr>
        <w:spacing w:after="0" w:line="222"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We intend to initially derive the majority of our revenues from the production and sale of a single car model, the Sion. Our success and future profitability will substantially depend on the Sion’s commercial success and market acceptance. We intend to rely on a one-variant only approach and may decide not to make marketing-driven improvements or changes during the first years of production of the Sion. Car manufacturers have historically provided a variety of vehicle models in their fleets and new and improved vehicles were introduced frequently. To the extent that our product offering does not meet consumer expectations, or cannot be achieved on our projected timelines as well as cost and volume targets, our future profitability may be adversely affected. There is no guarantee that we will be able to market the Sion at the price and with the technical capabilities we currently envisage. We anticipate the purchase price of the Sion to be a significant competitive advantage, but the historical and current initial net sales prices of the Sion will not allow us to generate a profit initially (not including expected revenues from CO2 pooling, the monetization of our solar technology or other expected revenues). Any increase of the net sales price for the Sion may negatively impact demand for the Sion and our reputation. We may need to make further upward adjustments of the sales price of the Sion as we finalize its development due to changes in technical specifications, production or component costs or otherwise, which may result in higher than anticipated sourcing or production cost. In addition, our standard configuration with a standard price for our vehicles may not be as effective as we intend. We intend to deliver our vehicles with technology features that may be offered as costly add-ons by our competitors. Customers may prefer personalized features based on diversified tastes and needs and we may not be able to meet various customer needs. We may have overestimated the demand for the Sion and if the production volume of our vehicles is lower than originally planned this may negatively affect the costs per car produced. We may have overly focused or may continue to overly focus on (perceived) key strengths and selling points of the Sion, such as its expected affordability and environmental friendliness, while neglecting other material product aspects or components, such as our vehicles’ passive or active safety, including driver assistance systems, or standard parts such as brakes or airbags, which may negatively affect our vehicles’ overall performance, safety, reputation and sales volume. In addition, our intended distribution model is different from the distribution models typically used by other car manufacturers, as we plan to sell vehicles directly to our customers over the internet, rather than through traditional dealerships or company- owned retail stores. This direct sales model may result in lower sales due to customer reluctance to rely on web- based vehicle purchasing, which is particularly relevant for us as we are still in the process of developing our brand and depend on the initial success of the Sion. There can also be no assurance that we will be able to broaden our portfolio by successfully developing additional car models. The currently envisaged start of the production of the Sion is in the second half of 2023 and customers may be unwilling to wait and decide to purchase other products that are or will be available earlier.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 may cancel their reservations for the Sion without penalty.</w:t>
      </w:r>
    </w:p>
    <w:p>
      <w:pPr>
        <w:spacing w:after="0" w:line="22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have recorded reservations from potential customers for the Sion. At times, we have indicated that if we sell every Sion that has been reserved, we would have revenues of a certain amount. However, our customers may cancel a reservation without penalty according to our general terms and conditions, if no binding purchase agreement has been concluded by an agreed deadline. The relevant deadline agreed on with the customers reflected the start of serial production envisaged by us at the time the relevant reservations were made. The timing of such permitted cancellations varies, as we have amended our general terms and conditions extending the relevant cancellation deadline to reflect delays of the intended commencement of serial production of our vehicles. We have also asked some of our customers to agree to amendments of our terms and conditions that extended the date at which customers may cancel a reservation. However, not all customers who previously placed a reservation have yet accepted such amended terms and conditions. According to our terms and conditions, customers have the right to cancel their reservations without penalty at the time at which we ask them to sign a binding purchase agreement for a Sion.</w:t>
      </w:r>
    </w:p>
    <w:p>
      <w:pPr>
        <w:spacing w:after="0" w:line="187"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To date, none of our customers has entered into a binding purchase agreement with us for our vehicles and we do not expect binding purchase agreements to be signed, at the earliest, until one year prior to the expected delivery date of a vehicle to the relevant customer. In the event of a customer’s cancellation we are obligated to refund any advance payments already paid in connection with the reservation; thus, a significant number of reservation cancellations could impact our liquidity. The anticipated lead times between customer reservations and the expected first delivery of the Sion may exacerbate the risk of cancellations. We have already had to</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delay the start of production, which has resulted in some cancellations, and any further delay in the launch of serial production may lead to additional cancellations. Even if we enter into binding purchase agreements with our customers, customers may, under certain circumstances, terminate such purchase agreement within two weeks after its conclusion under a principle of EU law relating to consumer protection in relation to distance contracts (</w:t>
      </w:r>
      <w:r>
        <w:rPr>
          <w:rFonts w:ascii="Times New Roman" w:cs="Times New Roman" w:eastAsia="Times New Roman" w:hAnsi="Times New Roman"/>
          <w:sz w:val="17"/>
          <w:szCs w:val="17"/>
          <w:i w:val="1"/>
          <w:iCs w:val="1"/>
          <w:color w:val="auto"/>
        </w:rPr>
        <w:t>Fernabsatzverträge</w:t>
      </w:r>
      <w:r>
        <w:rPr>
          <w:rFonts w:ascii="Times New Roman" w:cs="Times New Roman" w:eastAsia="Times New Roman" w:hAnsi="Times New Roman"/>
          <w:sz w:val="17"/>
          <w:szCs w:val="17"/>
          <w:color w:val="auto"/>
        </w:rPr>
        <w:t>) that do not involve face-to-face contact between us and customers. This principle would generally obligate us to take back the sold vehicle and refund the customer’s purchase price. Such principles applicable to distance contracts also apply to reservations. We may have also accidentally accepted reservations by customers from jurisdictions into which we will or may not be allowed to deliver our vehicles, leading to the cancellation of such reservations and the potential for reputational damage. As a result, there is no assurance that reservations will ultimately result in the purchase of a vehicle or that we actually realize our revenue expectations. Any projected revenue derived from reservations is based on a number of assumptions, including a projected purchase price for our vehicles. If the purchase price of our vehicles ends up being lower than anticipated, we may not achieve our projected level of revenue, even if all of our cars currently reserved are sold or otherwise commercialized.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benefit from additional revenue opportunities, but may not be able to commercialize these platforms.</w:t>
      </w:r>
    </w:p>
    <w:p>
      <w:pPr>
        <w:spacing w:after="0" w:line="222"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Apart from generating revenue from sales of the Sion, we also plan to generate revenue from CO2 pooling and the monetization of our solar technology.</w:t>
      </w:r>
    </w:p>
    <w:p>
      <w:pPr>
        <w:spacing w:after="0" w:line="16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Under the relevant EU regulations, a car manufacturer may enter into CO2 pooling arrangements with other car manufacturers to avoid, or reduce, penalty payments, if it pools its emissions with those of manufacturers of zero- or low-emission vehicles. The economic benefit is shared among the pooling participations, potentially providing a manufacturer of zero- or low-emission vehicles with an additional source of revenue. However, it remains uncertain whether such CO2 pooling will be legally feasible in the future after the start of the serial production of our vehicles. The relevant regulatory framework may change and/or other car manufacturers may be less dependent on CO2 pooling than we expected. The unavailability, reduction or elimination of any relevant government and economic incentives could have a material adverse effect on the development of the e-mobility market, our business, prospects, financial condition and operating results. In addition, our potential to benefit from CO2 pooling may be lower than anticipated if traditional car manufacturers develop and produce their own alternative fuel vehicles to reduce their fleet-wide average emissions or if competitors would enter into CO2 pooling arrangements with traditional car manufacturers before us.</w:t>
      </w:r>
    </w:p>
    <w:p>
      <w:pPr>
        <w:spacing w:after="0" w:line="187"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We also intend to monetize our technology based on licensing arrangements with third parties and royalty payments and we may also consider the development, general contracting and sale of certain selected solar components to third parties. However, there is no guarantee that we will be able to successfully finalize the development and commence commercialization of our technology on a large scale, particularly if our technologies are not as well received, functional or efficient as expected or should we face significant competition with respect to our technologies. The licensing of our technologies also requires patent-based or similar legal protection and there is no guarantee that we will obtain such protection in a timely manner, in the relevant jurisdictions or at all. We may fail to identify technical innovations that could be patentable and, accordingly, may fail to protect them via patents. In addition, we have already received purchase orders or entered into several letters of intent for partnerships, including with manufacturers of trailers, autonomous electric shuttles, trains, trucks, buses and boats. There is, however, no guarantee that we will be able to enter into final and binding commercial agreements with such manufacturers and ultimately monetize our technology.</w:t>
      </w:r>
    </w:p>
    <w:p>
      <w:pPr>
        <w:spacing w:after="0" w:line="183" w:lineRule="exact"/>
        <w:rPr>
          <w:sz w:val="20"/>
          <w:szCs w:val="20"/>
          <w:color w:val="auto"/>
        </w:rPr>
      </w:pPr>
    </w:p>
    <w:p>
      <w:pPr>
        <w:ind w:right="7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intend to deploy technologies and solutions in our vehicles, including our solar module technology, which may not be fully functional or available on our anticipated schedule or at all, and may remain unproven and pose additional risks.</w:t>
      </w:r>
    </w:p>
    <w:p>
      <w:pPr>
        <w:spacing w:after="0" w:line="15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Sion will make use of certain of our technological innovations and solutions, including our solar module technology, our MCU, our on-board charger, our power sharing solution and our software and mobile application solution that is tailored to our power sharing solution and provides the backbone for our car-sharing and ride-pooling networks. We also plan to offer our own aftersales, self-service system based on an online database providing manuals and tutorials. The development of our technologies and solutions is ongoing. The functionality, usability and availability of our technologies and solutions in the day-to-day use of our vehicles and at scale is unproven. Our technology has not yet been tested in industrial production. The relevant production machines that turn our technology into actual products at industrial scale have not yet been developed. There is no guarantee that our vehicles will initially perform as expected under daily driving conditions or that we will be able to detect and fix any potential weaknesses in our vehicles’ technology, hardware or software prior to commencing serial production. For example, our solar modules and/or our batteries may not provide the expected additional range advantage compared to traditional BEVs or may be less reliable or more expensive to produce than expected. In addition, our solar modules may be subject to accelerated corrosion due to the impact of thermal expansion. An early prototype version of our integrated solar modules rippled and showed optical deviations when intensely exposed to the sun for an extended period of time. While we believe that we have found the reason for these issues, we cannot guarantee that they will not recur.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In addition, partial exposure of our solar modules to sun may cause sections not exposed to sun to become very hot, which may lead to bodily harm should persons touch these sections. Defects in our integrated solar modules may cause fires and bodily harm. Furthermore, defects or inappropriate use of our power sharing solutions and insufficient safety measures could lead to bodily harm, short circuits and fire damage to our vehicles or any device or facility to which they are connected. Also, any of our hardware or software solutions may contain errors, bugs, vulnerabilities or design defects or may be subject to technical limitations that may compromise the functionality of our vehicles or offering. Some errors, bugs, vulnerabilities, or design defects inherently may be difficult to detect and may only be discovered after commercialization of our vehicles has begun. For example, we recently discovered that the maximum point power tracker solution used for our retrofit solutions needs improvement to enhance the energy captured by the solar modules. A dynamic environment, such as a mobility application, may lead to partial shading and rapidly changing irradiance circumstances, which our maximum power point tracker solution does not yet address effectively. Additional risks may result from the use of any of our other technologies or solutions in jurisdictions where such use is not lawful and which we may not successfully control. For example, our power sharing solution may be used in jurisdictions where any of such power sharing options may not be lawful thereby exposing us or individuals to significant liability risks. Our car-sharing and ride-pooling offering may be subject to restrictive laws on passenger transportation and may also be overall less accepted by our customers than anticipated or compared to similar commercial offerings such as Zipcar or Share now.</w:t>
      </w:r>
    </w:p>
    <w:p>
      <w:pPr>
        <w:spacing w:after="0" w:line="185"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Any of the technologies we intend to use in the Sion or solutions we expect to offer may not be available or fully functional at the time of the first deliveries of our vehicles or at all. There is no guarantee that our aftersales and self-service database will be fully functional or include all required manuals, tutorials or other relevant content to address all customer concerns and issues at the beginning of the market introduction of the Sion. Our self-service approach may be less accepted by our customers than expected. Customers may prefer an all-around carefree service and we may also not be able to successfully establish and offer a service partner network to our customers for an all-around carefree service for their vehicles as currently intended, in time or at all. In addition, questions concerning the warranty for repairs carried out by customers are still unresolved. Our car-sharing and ride-pooling application is based on complex information technology and may, for example, not be fully functional when first introduced or may not offer all relevant functions. Any impairment to the function or availability of our software applications may limit offerings associated with it and may make our car- and ride-sharing networks, as well as power sharing solutions, unavailable or less practical. Furthermore, not all of our technologies, such as our car- sharing and ride-pooling software application, are or will be protected by patents, which may negatively affect our ability to, directly or indirectly, realize or monetize such technologies.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adequate protection of our intellectual property, which can be difficult and costly.</w:t>
      </w:r>
    </w:p>
    <w:p>
      <w:pPr>
        <w:spacing w:after="0" w:line="222"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We invest significant resources in the development of technologies and hold several patents relating to our technological innovations to be included in the Sion, such as our solar module technology, ventilation system and our energy management system for vehicles. We consider these technologies and the related patents to be crucial for the commercial success of our vehicles. To establish and protect our rights in our technology, we rely on a combination of patents, trade secrets (including know-how), copyrights, trademarks, intellectual property licenses, employee and third-party nondisclosure agreements and other contractual rights.</w:t>
      </w:r>
    </w:p>
    <w:p>
      <w:pPr>
        <w:spacing w:after="0" w:line="182"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The measures we take to protect our intellectual property from unauthorized use by others, including current or former suppliers, partners or employees, may not be effective for various reasons. Any patent applications we submit may not result in the issuance of patents, the scope of our issued patents may not be broad enough to protect our proprietary rights or our issued patents may be challenged and/or invalidated by our competitors. Any successful challenge to any of our intellectual property rights could deprive us of rights necessary for the successful commercialization of our vehicles or any technology relating thereto. Challenges to our patents could impair or eliminate our ability to collect future revenues and royalties on our technologies. The patent prosecution process is expensive, time consuming and complicated, and we and our future licensors may not be able to file, prosecute or maintain all necessary or desirable patent applications at a reasonable cost or in a timely manner or in all jurisdictions where protection may be commercially advantageous. It is also possible that we and our future licensors may fail to identify patentable aspects of our research and development output before it is too late to obtain patent protection. We filed and intend to continue to file trademark applications in relevant jurisdictions but may be unable to register our trademarks or otherwise protect them. For example, we have failed in some jurisdictions to obtain protection for our circle with a dot in the middle, if it is not combined with other distinctive elements. In China, our trademark application for our circle with a dot in the middle, the Sono name, and the combination of the Sono name and our circle with a dot in the middle has been objected to. In the United States, our application to register “Driven by the Sun” as a trademark has been denied. In addition, we are in ongoing discussions with an American developer and manufacturer of audio products, who filed oppositions against various trademarks that have been filed after a rebranding process, and a producer of telescopic sights who also filed oppositions against the same trademarks that have been filed after the rebranding process. With both opponents, we are in negotiation to find an amicable solution. Therefore, for the oppositions that have been filed by these opponents, an extension of the cooling-off period has been filed. Our efforts to register a trademark may be subject to oppositions and if a third-party were to register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our trademarks, or similar trademarks, in a jurisdiction where we have not successfully registered such trademark, it could create a barrier to the successful commercialization of our vehicles. For example, in Europe, there are on-going attempts to register the Company’s slogan or other marks in relation to transport vehicles by land, air, or water. Failure to adequately protect our intellectual property rights could result in our competitors offering similar products, potentially resulting in the loss of some of our competitive advantage as well as a decrease in our revenue, which would adversely affect our business, prospects, financial condition and operating results.</w:t>
      </w:r>
    </w:p>
    <w:p>
      <w:pPr>
        <w:spacing w:after="0" w:line="170"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Even if we hold valid and enforceable patents or other intellectual property rights, the legal systems of certain countries, including certain developing countries, may not favor the enforcement of these rights or otherwise offer the same degree of protection as do the laws in the EU or United States, which could make it difficult for us to stop the infringement, misappropriation, or other violation of our patents or other intellectual property rights. Further, policing the unauthorized use of our intellectual property in various jurisdictions around the world may be difficult and require significant resources.</w:t>
      </w:r>
    </w:p>
    <w:p>
      <w:pPr>
        <w:spacing w:after="0" w:line="182"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7"/>
          <w:szCs w:val="17"/>
          <w:color w:val="auto"/>
        </w:rPr>
        <w:t>We have applied for patent protection relating to our technological innovations to be included in the Sion in certain jurisdictions.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or such applications may not eventually be issued by the applicable patent offices as patents. In addition, the patents issued as a result of our foreign patent applications may not have the same scope of coverage as our patents in the EU or United States.</w:t>
      </w:r>
    </w:p>
    <w:p>
      <w:pPr>
        <w:spacing w:after="0" w:line="171" w:lineRule="exact"/>
        <w:rPr>
          <w:sz w:val="20"/>
          <w:szCs w:val="20"/>
          <w:color w:val="auto"/>
        </w:rPr>
      </w:pPr>
    </w:p>
    <w:p>
      <w:pPr>
        <w:ind w:right="60" w:firstLine="318"/>
        <w:spacing w:after="0" w:line="269" w:lineRule="auto"/>
        <w:rPr>
          <w:sz w:val="20"/>
          <w:szCs w:val="20"/>
          <w:color w:val="auto"/>
        </w:rPr>
      </w:pPr>
      <w:r>
        <w:rPr>
          <w:rFonts w:ascii="Times New Roman" w:cs="Times New Roman" w:eastAsia="Times New Roman" w:hAnsi="Times New Roman"/>
          <w:sz w:val="17"/>
          <w:szCs w:val="17"/>
          <w:color w:val="auto"/>
        </w:rPr>
        <w:t>Changes in the patent laws or their interpretation in the relevant jurisdictions may reduce our ability to protect our inventions and enforce our intellectual property rights. More generally, these changes could affect the value of our patents and other intellectual property. Our efforts in seeking patent protection for our technology could be negatively impacted by any such changes, which could have a material adverse effect on our existing patent rights and our ability to protect and enforce our intellectual property rights in the future. In particular, our ability to stop third parties from making, using, selling, offering to sell or importing products that infringe our intellectual property rights will depend in part on our success in obtaining and enforcing patent claims that cover our technology, inventions and improvements.</w:t>
      </w:r>
    </w:p>
    <w:p>
      <w:pPr>
        <w:spacing w:after="0" w:line="171"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against improper use of our trade secrets or other proprietary information. There can be no assurance that third parties will not seek to gain access to our trade secrets or other proprietary information. In addition, adequate remedies may not be available in the event of unauthorized use or disclosure of our trade secrets or other proprietary information. Violations by others of our confidentiality agreements and the loss of employees who have specialized knowledge and expertise could harm our competitive position and cause our sales and operating results to decline as a result of increased competition.</w:t>
      </w:r>
    </w:p>
    <w:p>
      <w:pPr>
        <w:spacing w:after="0" w:line="181" w:lineRule="exact"/>
        <w:rPr>
          <w:sz w:val="20"/>
          <w:szCs w:val="20"/>
          <w:color w:val="auto"/>
        </w:rPr>
      </w:pPr>
    </w:p>
    <w:p>
      <w:pPr>
        <w:ind w:right="5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lead to the granting of patents or desired protection in time or at all, which may have a material adverse effect on our ability to prevent others from commercially exploiting products similar to ours.</w:t>
      </w:r>
    </w:p>
    <w:p>
      <w:pPr>
        <w:spacing w:after="0" w:line="159"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a particular patent application pertains. If another party has filed a patent application pertaining to the same subject matter as we have, we may not be entitled to the protection sought by our patent application. Patent applications in many jurisdictions are typically not published until several months after filing and we cannot be certain that we were the first to make the inventions claimed in any of our issued patents or pending patent applications, or that we were the first to file for protection of the inventions set forth in our patents or patent applications. As a result, we may not be able to obtain or maintain protection for certain inventions and may face similar risks in other jurisdictions should we expand our operations, including in significant vehicle markets such as the United States and China.</w:t>
      </w:r>
    </w:p>
    <w:p>
      <w:pPr>
        <w:spacing w:after="0" w:line="189"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Further, the scope of protection of issued patent claims is often difficult to determine. As a result, we cannot be certain that the patent applications that we file will issue, or that our issued patents will afford protection against competitors with similar technology. In addition, our competitors may seek to bypass our issued patents, which may adversely affect our business, prospects, financial condition or operating results. We cannot offer any assurances about which, if any, patents will issue, the breadth of any such patents or whether any issued patents will be found invalid or unenforceable or will be threatened by third parties.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with using common vehicle platforms, such as our “one base” vehicle platform, in the design and manufacture of our vehicles.</w:t>
      </w:r>
    </w:p>
    <w:p>
      <w:pPr>
        <w:spacing w:after="0" w:line="159"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Sion is engineered on a common vehicle platform (“one base”), which means that we intend to use this platform for new vehicle types and the planned expansion of our product portfolio. We have no experience with using a common platform in the design and manufacture of vehicles. The design of the Sion and our “one base” platform is not complete. We may make changes to the design of the Sion or the platform that may make it more difficult to use the platform for future vehicles. There is no guarantee that we will be able to use the “one base” platform to bring future vehicle models to market faster or at lower cost or that there will be sufficient customer demand for additional vehicle variants of this platform.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delay in commercial production of the Sion could adversely affect us.</w:t>
      </w:r>
    </w:p>
    <w:p>
      <w:pPr>
        <w:spacing w:after="0" w:line="22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start of the production of the Sion has been delayed and is currently envisaged for the second half of 2023. Any delay in the scheduled production, manufacture or commercial release of the Sion due to, for example, our inability to successfully complete the development of the Sion, obtain sufficient financing, comply with relevant regulatory provisions and obtain street certification for the Sion or any failure by our suppliers or business partners to meet agreed upon timelines could reduce interest in our vehicles and subject the Sion to unfavorable changes in the regulatory environment over time, such as legal requirements to include certain driver assistance technologies in our vehicles, which may be costly or difficult and costly to implement.</w:t>
      </w:r>
    </w:p>
    <w:p>
      <w:pPr>
        <w:spacing w:after="0" w:line="187"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Any delay in the production or delivery of the Sion as currently envisioned or any other future car model could adversely affect our growth prospects or even threaten our future existence as a business. Any delay in the financing, design and launch of the Sion or other car models that we may roll out in the future could lead to the cancellation of reservations or termination or non-extension of relationships with any of our business partners and may materially damage our brand, business, prospects, financial condition and operating results. In order to mitigate the effect of delays of the expected start of the production of the Sion on our customers, we entered into a cooperation with a traditional car manufacturer and for a limited period offered our customers the option to convert parts of their advance payment into a lease arrangement for another electric vehicle at a discount until the delivery of the Sion. We renewed this offer to our customers in 2021 under slightly modified conditions and, in addition, alternatively offered them to lease a vehicle at discounted conditions from a start-up car subscription company that claims to focus on sustainability. However, such cooperation and offers expose us to additional costs, obligations and risks, including reputational risks, and there is no guarantee that such initiatives will ultimately have the intended effect on customer loyalty. Any future delay of the start of series production of our vehicles could force us to set up similar initiatives, which could lead to substantial cash outflows and negatively affect our financial results, reputation and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develop manufacturing processes and capabilities within our projected costs and timelines.</w:t>
      </w:r>
    </w:p>
    <w:p>
      <w:pPr>
        <w:spacing w:after="0" w:line="222"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Our asset-light business model provides for the outsourcing of the production of our vehicles and the sourcing of off-the-shelf components from suppliers, as well as outsourced logistics and delivery management based on low inventories. We have no experience to date in manufacturing vehicles through our production partner or in supply chain management. We do not know whether we will be able to secure efficient, low-cost manufacturing capabilities and to implement automated manufacturing processes. We also may not be able to secure reliable sources of component supply. Off-the-shelf components sourced may not meet the requirements for our use cases. Many of our components are still in prototype stage and have not undergone series production feasibility checks. Any failure to meet the required quality, price, engineering, design and production standards, as well as the production volumes, may negatively impact our ability to successfully mass market the Sion or other future car models. The injection-molding based production process of our solar module technology or other relevant production technologies may not be as efficiently scalable as expected or, if scaled, may lead to a higher number of product defects than anticipated (due to, for example, increased breakage of solar cells during the injection molding process). Even if we are successful in developing our high volume manufacturing capability and processes and reliably source our component supply, we do not know whether we will be able to do so in a manner that avoids significant delays and cost overruns, including as a result of factors beyond our control such as problems with suppliers or logistics, or in time to meet our vehicle commercialization schedules or to satisfy the requirements of customers. Any failure to develop such manufacturing processes and capabilities within our projected costs and timelines could have a material adverse effect on our business, prospects, operating results and financial condition.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vehicles of sufficient quality and appeal to customers on schedule and at scale is unproven and still evolving and we may not be able to commercialize our vehicles.</w:t>
      </w:r>
    </w:p>
    <w:p>
      <w:pPr>
        <w:spacing w:after="0" w:line="159"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Our success will depend in large part on our ability to execute our plans to market and sell the Sion as well as other car models that we may roll out at a later point in time. There is no guarantee that we will be able to successfully commercialize the Sion or other potential future car models in time or at all.</w:t>
      </w:r>
    </w:p>
    <w:p>
      <w:pPr>
        <w:spacing w:after="0" w:line="17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successful conclusion of the commercial introduction, as well as the rollout of future car models, is and will be subject to various risks, including with respect to:</w:t>
      </w:r>
    </w:p>
    <w:p>
      <w:pPr>
        <w:spacing w:after="0" w:line="164" w:lineRule="exact"/>
        <w:rPr>
          <w:sz w:val="20"/>
          <w:szCs w:val="20"/>
          <w:color w:val="auto"/>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customer acceptance of our brand and the Sion and willingness to purchase our vehicles instead of more established brands;</w:t>
      </w:r>
    </w:p>
    <w:p>
      <w:pPr>
        <w:spacing w:after="0" w:line="217" w:lineRule="exact"/>
        <w:rPr>
          <w:rFonts w:ascii="Times New Roman" w:cs="Times New Roman" w:eastAsia="Times New Roman" w:hAnsi="Times New Roman"/>
          <w:sz w:val="18"/>
          <w:szCs w:val="18"/>
          <w:color w:val="231F20"/>
        </w:rPr>
      </w:pPr>
    </w:p>
    <w:p>
      <w:pPr>
        <w:ind w:left="680" w:right="40" w:hanging="328"/>
        <w:spacing w:after="0" w:line="274" w:lineRule="auto"/>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secure necessary funding to complete development and launch of the Sion and maintain our operating expenses until we generate sufficient revenue to meet our costs;</w:t>
      </w:r>
    </w:p>
    <w:p>
      <w:pPr>
        <w:spacing w:after="0" w:line="164" w:lineRule="exact"/>
        <w:rPr>
          <w:rFonts w:ascii="Times New Roman" w:cs="Times New Roman" w:eastAsia="Times New Roman" w:hAnsi="Times New Roman"/>
          <w:sz w:val="18"/>
          <w:szCs w:val="18"/>
          <w:color w:val="231F20"/>
        </w:rPr>
      </w:pPr>
    </w:p>
    <w:p>
      <w:pPr>
        <w:ind w:left="680" w:right="320" w:hanging="328"/>
        <w:spacing w:after="0" w:line="274" w:lineRule="auto"/>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third-party production partner (Valmet Automotive) we plan to use being able to manufacture the Sion or other cars within defined design, tolerances, quality and quantity specifications;</w:t>
      </w:r>
    </w:p>
    <w:p>
      <w:pPr>
        <w:spacing w:after="0" w:line="164" w:lineRule="exact"/>
        <w:rPr>
          <w:rFonts w:ascii="Times New Roman" w:cs="Times New Roman" w:eastAsia="Times New Roman" w:hAnsi="Times New Roman"/>
          <w:sz w:val="18"/>
          <w:szCs w:val="18"/>
          <w:color w:val="231F20"/>
        </w:rPr>
      </w:pPr>
    </w:p>
    <w:p>
      <w:pPr>
        <w:ind w:left="680" w:right="180" w:hanging="328"/>
        <w:spacing w:after="0" w:line="274" w:lineRule="auto"/>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other business partners, such as suppliers and logistics services providers, providing their products and services according to our needs and specifications;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scalability of our operations and the production of the Sion;</w:t>
      </w:r>
    </w:p>
    <w:p>
      <w:pPr>
        <w:spacing w:after="0" w:line="217" w:lineRule="exact"/>
        <w:rPr>
          <w:rFonts w:ascii="Times New Roman" w:cs="Times New Roman" w:eastAsia="Times New Roman" w:hAnsi="Times New Roman"/>
          <w:sz w:val="18"/>
          <w:szCs w:val="18"/>
          <w:color w:val="231F20"/>
        </w:rPr>
      </w:pPr>
    </w:p>
    <w:p>
      <w:pPr>
        <w:ind w:left="680" w:right="140" w:hanging="328"/>
        <w:spacing w:after="0" w:line="274" w:lineRule="auto"/>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long- and short-term durability of the relevant e-mobility technology, particularly our proprietary solar module technology based on polymer technology, and other related components in the day-to-day wear and tear of the vehicles;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environmental, workplace safety and similar regulations;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securing necessary components and raw materials for our vehicles on acceptable terms and in a timely manner;</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and disruptions in the delivery process of our suppliers or other business partners;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recruit, hire and train and retain skilled employees;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quality controls;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or disruptions in our supply chain;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impacts of inflation, including an increase in energy costs;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delays and cost overruns; and</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unforeseen market developments in a rapidly evolving market environment.</w:t>
      </w:r>
    </w:p>
    <w:p>
      <w:pPr>
        <w:spacing w:after="0" w:line="21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have yet to acquire the adequate hard tooling, i.e., metal tools that offer high repeatability and reproduction accuracy as well as high processing speed and tool stability, for the long-term serial production of our vehicles according to our timelines and may not be able to procure such tooling in time or at all, particularly if we do not secure the required funding. The currently envisaged start of the production of the Sion in the second half of 2023 will include a first series of vehicles manufactured with soft tooling, which are plastic or aluminum tools that result in greater dimensional tolerances and higher tool wear, but are much simpler and thus more cost-effective to produce. Soft tools will not allow for the production of our vehicles at the required quality and quantity in the long-run. We will not be able to secure the production of vehicles according to our timelines and demands without hard tooling. There is also no guarantee that we will be able to successfully ramp up the production of the Sion once its serial production has been started.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Valmet Automotive for production of the Sion.</w:t>
      </w:r>
    </w:p>
    <w:p>
      <w:pPr>
        <w:spacing w:after="0" w:line="22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initially intended for the Sion to be produced by NEVS, in Trollhättan, Sweden. In April 2022, we announced that we would switch to Valmet Automotive in Uusikaupunki, Finland. This change in the envisaged contract manufacturer contributed to an increase in our funding needs and led to a delay in the intended date for start of production from the first half of 2023 to the second half of 2023. There is no guarantee that the transition from NEVS to Valmet Automotive will run as expected. Our funding needs may increase or there may be a further delay in the intended start of production. Valmet Automotive may not manufacture vehicles that correspond to our specifications and quality expectations or that Valmet Automotive will be able to ramp up production volumes as quickly as currently expected. In addition, outsourcing generally requires the sharing of material proprietary knowledge, trade secrets and other sensitive information and we or Valmet Automotive may not be able to implement effective measures to adequately protect our proprietary information, or other intellectual property, against misadministration, misuse, misappropriation, unauthorized access or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asset-light business model provides for the sourcing of off-the-shelf components from suppliers based on a single-source approach.</w:t>
      </w:r>
    </w:p>
    <w:p>
      <w:pPr>
        <w:spacing w:after="0" w:line="233"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7"/>
          <w:szCs w:val="17"/>
          <w:color w:val="auto"/>
        </w:rPr>
        <w:t>Various standard automotive parts of the Sion will be off-the-shelf components developed by, and sourced from, third-party suppliers. With respect to our suppliers we currently rely on a “single-source” approach and have selected, or intend to select, one single supplier for a specific car component. This makes our supply chain and the production of our vehicles particularly dependent on the performance of our suppliers and increases the risks of interruption. Our operations will be negatively affected if one of our suppliers experiences capacity constraints and is not in a position to deliver the required quantities of a certain component or part. Single-sourcing also increases the bargaining power of the relevant suppliers, which may expose us to abusive conduct, may prevent us from entering into long-term supply agreements with guaranteed pricing or may require us to accept disadvantageous economic or legal conditions. We may also be forced to stop production should a supplier fail to provide required certifications for its products or should the supplier be accused of infringing or misappropriating third-party intellectual property rights. Many suppliers depend on a small number of established car manufacturers. Suppliers may be significantly impacted and may be forced to close their operations, should any of these established car manufacturers lose significant market share or file for bankruptcy. If we need to replace a supplier or if a supplier terminates its relationship with us, there is no guarantee that we will be able to find adequate substitute products or suppliers in time or at all. In addition, COVID-19-related measures or effects may also affect the availability of products, components and materials. For example, increased demand for semiconductor chips in 2020, due in part to the COVID-19 pandemic, and increased demand for consumer electronics that use these chips, has resulted in a severe global shortage of such chips in 2021, which has continued in 2022. Any failure to secure semiconductor chips in sufficient volumes may negatively impact production volumes of the Sion. In addition, as a result of the COVID-19 pandemic, elevated inflation levels or the ongoing transformation of the automotive industry, suppliers may encounter financial difficulties, which could lead to a reduction in the products offered by them or may lead to these suppliers ceasing to do business. As a result, we may be required to find replacement suppliers, which may increase our production costs and could lead to a delay in the envisaged start of production of the Sion. Furthermore, it is possible that the supplier does not have the right to sell the relevant product to us, for example, because the supplier lacks the intellectual property rights to the design or because the supplier has an exclusivity agreement with another vehicle manufacturer, which we could force us to discontinue production or sales of the Sion, to replace the part or to change the design of the Sion, which could result in significant delays and costs or make the production of the Sion impossible altogether. Suppliers may change their products or may go out of business, resulting in limited or no availability of replacement parts to repair our vehicles.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vehicles depend on the development, production, performance and durability of batteries being engineered by a single supplier.</w:t>
      </w:r>
    </w:p>
    <w:p>
      <w:pPr>
        <w:spacing w:after="0" w:line="222"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7"/>
          <w:szCs w:val="17"/>
          <w:color w:val="auto"/>
        </w:rPr>
        <w:t>The competitiveness and performance of our vehicles depend on the supply and performance of batteries. We have engaged a supplier with the development and production of our lithium-iron phosphate batteries. We are fully dependent on this supplier and any delay or disruption in the development and production of, as well as the supply of batteries from, such supplier could significantly delay or disrupt our own envisioned timelines or the production of our vehicles. Our timeline for the development and production of our vehicles as well as the timeline for the development of the batteries by the supplier are tightly aligned and we may not be able to replace such supplier or its batteries in time or at all without any significant delay or disruption of our own operations should this supplier not be able to develop and deliver batteries on time or at the required quality or quantities. Any change in the technology used by our supplier may lead to a delay in our development timeline. We may not be able to change our battery supplier in a timely manner or at all.</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The production of lithium-iron phosphate batteries is exposed to multiple risks, which may not be adequately addressed by our arrangement with our supplier. These risks include the inability or unwillingness of battery manufacturers to build or operate battery cell manufacturing plants to supply the numbers of lithium-iron phosphate blade cells required to support the growth of the electric vehicle industry as demand for such blade cells may increase steeply, a disruption in the supply of lithium-iron phosphate blade cells due to quality issues or recalls by the battery blade cell manufacturer and an increase in the cost of raw materials used in lithium-iron phosphate cells.</w:t>
      </w:r>
    </w:p>
    <w:p>
      <w:pPr>
        <w:spacing w:after="0" w:line="17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Based on calculations performed by us, we currently expect that the batteries developed by our supplier and to be used in our vehicles will provide a range based on the WLTP standard of up to 305 kilometers, or up to 190 miles, until they have to be recharged. These specifications reflect our current development targets, and there is no guarantee that the batteries will actually have such a range or will represent the state of the art once being integrated in and delivered with the Sion. Even if the batteries sourced from such supplier generally perform as expected, there is no guarantee that we will be able to successfully integrate them in our vehicles and that they will show the same performance in our vehicles as generally specified by the supplier. In addition, based on our simulations, we currently expect a certain decline in the Sion’s battery capacity over its lifespan, which will lead to a decrease in the range of our vehicles. Other factors such as usage, time and stress patterns may also impact the battery’s ability to hold a charge, which would decrease our vehicles’ range. Such battery deterioration and the related decrease in range may negatively influence potential customer decisions and may adversely affect the commercialization of the Sion and our business operations.</w:t>
      </w:r>
    </w:p>
    <w:p>
      <w:pPr>
        <w:spacing w:after="0" w:line="183"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depend on a single supplier for production of a central component of our solar panels; quality concerns could delay our expected start of production.</w:t>
      </w:r>
    </w:p>
    <w:p>
      <w:pPr>
        <w:spacing w:after="0" w:line="159"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One of the key distinctive features of the Sion and many of our solar projects will be their integrated solar panels to capture energy from the sun. We have engaged a single supplier for engineering services for the manufacturing process and production of a central component of our solar panels, the photovoltaic labels. We are currently dependent on this supplier and any delay or disruption in the engineering work or production of photovoltaic labels could significantly delay or disrupt our envisaged timelines or the production of our vehicles. We are in an ongoing dialogue with our supplier concerning product quality. For example, the latest samples for our prototyping received from our supplier did not conform to our technical requirements or quality expectations for the state of the current development. Our supplier may not be in a position to improve the quality so that it meets our expectations within the required timeframe or at all. Quality issues, including issues with performance and durability, may delay the Sion’s expected start of production, negatively impact our reputation or require us to engage in costly repair work. In addition, our current dependence on this supplier means that any disruption in the supplier’s ability to continue its business operations, or any change in the supplier’s willingness to continue as our supplier, may also delay the Sion’s expected start of production and require us to invest substantial time and resources to find a replacement supplier. Given the technology and hardware needed to produce photovoltaic labels, we may not be able to replace such supplier in the short term if we determine to do so. To meet the agreed development or production deadlines and quantities, our current supplier or any replacement supplier may need to invest substantial amounts. There is no assurance that our supplier or any replacement supplier has secured or will be able to secure access to sufficient funding.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or certain products could harm our business.</w:t>
      </w:r>
    </w:p>
    <w:p>
      <w:pPr>
        <w:spacing w:after="0" w:line="22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Once commercial production of the Sion begins, Valmet Automotive, which is expected to produce our vehicles, or any of our suppliers may experience increases in the cost or a sustained interruption in the supply or shortage of raw materials required for the production of our vehicles or certain parts or components used in them. Our vehicles depend on various raw materials and products, including aluminum, steel, carbon fiber, non-ferrous metals (such as copper) or anti-freeze heat transfer fluid based on propane diol, corrosion inhibitors, certain polycarbonate blends and computer chips. The prices for these materials and products may fluctuate depending on market conditions, inflation levels and energy prices. Some products, such as computer chips, may not be available at all in the short term.</w:t>
      </w:r>
    </w:p>
    <w:p>
      <w:pPr>
        <w:spacing w:after="0" w:line="189" w:lineRule="exact"/>
        <w:rPr>
          <w:sz w:val="20"/>
          <w:szCs w:val="20"/>
          <w:color w:val="auto"/>
        </w:rPr>
      </w:pPr>
    </w:p>
    <w:p>
      <w:pPr>
        <w:jc w:val="both"/>
        <w:ind w:right="220" w:firstLine="318"/>
        <w:spacing w:after="0" w:line="260" w:lineRule="auto"/>
        <w:rPr>
          <w:sz w:val="20"/>
          <w:szCs w:val="20"/>
          <w:color w:val="auto"/>
        </w:rPr>
      </w:pPr>
      <w:r>
        <w:rPr>
          <w:rFonts w:ascii="Times New Roman" w:cs="Times New Roman" w:eastAsia="Times New Roman" w:hAnsi="Times New Roman"/>
          <w:sz w:val="18"/>
          <w:szCs w:val="18"/>
          <w:color w:val="auto"/>
        </w:rPr>
        <w:t>Substantial increases in the prices for raw materials and/or increases in freight charges would increase our operating costs and could reduce our margins if the increased costs cannot be recouped through increased vehicle prices. There can be no assurance that we will be able to recoup increasing costs of raw materials by increasing vehicle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outsource logistics management of our operations to 3PL and potentially 4PL services providers.</w:t>
      </w:r>
    </w:p>
    <w:p>
      <w:pPr>
        <w:spacing w:after="0" w:line="222"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We plan to outsource the inbound and outbound logistics management of our operations to 3PL services providers that will provide comprehensive supply chain, transport, distribution management and execution services while we may also engage a 4PL services provider who will oversee the transportation and logistics operations of our 3PL services companies. Involving external</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logistics providers entails risks. These include delays, the inefficient logistics management by a 3PL or 4PL services provider or trade restrictions, embargos or COVID-19-related measures affecting supply chain management, including cross border shipments.</w:t>
      </w:r>
    </w:p>
    <w:p>
      <w:pPr>
        <w:spacing w:after="0" w:line="160"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yet to enter into contractual agreements with many of our prospective suppliers and business partners and may have to renegotiate these agreements as we scale our business.</w:t>
      </w:r>
    </w:p>
    <w:p>
      <w:pPr>
        <w:spacing w:after="0" w:line="15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need to finalize our contractual arrangement with many of our prospective suppliers and business partners. Our arrangement with Valmet Automotive, the third-party manufacturer expected to produce the Sion, is of a preliminary and basic nature and various aspects of our commercial and legal relationship with Valmet Automotive, as well as details of the production of the Sion, will have to be clarified and stipulated in a final contract manufacturing agreement with Valmet Automotive in advance of the production of our vehicles. Negotiations with Valmet Automotive may consume significant resources and time and there is no guarantee that such negotiations will be concluded successfully. In the negotiations, we may agree to terms and conditions that are less favorable to us than expected. For example, the production cost per single car may be ultimately higher than currently expected due to various factors many of which are beyond our control. We may be subject to unfavorable rules on the transfer of risk with respect to our vehicles or supplied components or disadvantageous payment terms. Any failure to finalize our arrangement with Valmet Automotive in a timely manner may lead to a delay in the production and delivery of the Sion. Terms and conditions (including production costs) of any contractual arrangement, including any preliminary contractual arrangement, may have to be again renegotiated due to a lapse of time or a change in material circumstances should we not be able to realize the anticipated timelines. In addition, our preliminary arrangement with Valmet Automotive provides that increasing from annual production volumes of 25 thousand vehicles to 43 thousand vehicles may require additional investments of €100 million and is subject to mutual agreement of the parties. Accordingly, if we wish to increase production volumes in the future, we will not be able to do so without the agreement of Valmet Automotive.</w:t>
      </w:r>
    </w:p>
    <w:p>
      <w:pPr>
        <w:spacing w:after="0" w:line="18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have yet to conclude contractual agreements with many other suppliers and other prospective business partners and may not be able to reach such agreements on favorable terms, in a timely manner or at all. Prospective suppliers and business partners may end their relationship or negotiations with us for various reasons. Many of the suppliers we involve, or intend to involve, are well-known market players with significant bargaining power and whose position towards us is bolstered due to our single-source approach. We, on the other hand, are not an established business and have limited market power. We may therefore not be able to successfully assert our own interests and may have to enter into contracts with significantly disadvantageous terms and conditions, such as unfavorable prices, limitations on remedies in cases of breach of contract, unfair liquidated damages provisions or broad termination rights allowing our business partners to end their relationship with us at will. If we successfully launch and market the Sion, we will seek to scale our operations. We may have to renegotiate, amend or extend our relationships with our business partners and there is no guarantee that we will be successful in doing so. We may incur substantial additional costs and expenses should we have to amend our business model to scaled operations and we may even fail to do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involvement of numerous third parties in our operations and processes adds significant complexity.</w:t>
      </w:r>
    </w:p>
    <w:p>
      <w:pPr>
        <w:spacing w:after="0" w:line="22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involvement of numerous third parties in our operations and processes adds significant complexity and dependency. There is no guarantee that we will reach the required synchronization among all these parties to successfully produce our vehicles and scale our operations. The logistics processes in our business model (including in-bound logistics such as the shipping of car components from various suppliers to Valmet Automotive’s factory for the assembly of various auto parts, as well as out-bound logistics such as the delivery of our vehicles to customers or hubs) may be more complex, complicated and costly than originally anticipated. The high degree of involvement of third parties is challenging for our IT-systems and interfaces. In response to the resulting complexity, we decided to introduce a new enterprise resource planning software, SAP S4/HANA. The introduction of SAP S4/HANA may be more time consuming and/or costly than we currently expect. Further vulnerability to our operations is added by the fact that we intend to run the production of the Sion as a one-variant-only model based on a low inventory and “just in time” strategy, which requires particularly precise coordination among Valmet Automotive, our suppliers, the 3PL and 4PL services providers and us as well as prompt delivery by all of the foregoing. We will not maintain a back stock of inventory or material and any supply chain issue, such as price increases in raw materials, shortages, natural disasters, trade disputes or political tensions can adversely affect our operations.</w:t>
      </w:r>
    </w:p>
    <w:p>
      <w:pPr>
        <w:spacing w:after="0" w:line="189"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depend on the acceptance of our brand and any negative publicity relating to any of our business partners and their products or services could have a significant negative impact on our business and reputation.</w:t>
      </w:r>
    </w:p>
    <w:p>
      <w:pPr>
        <w:spacing w:after="0" w:line="159" w:lineRule="exact"/>
        <w:rPr>
          <w:sz w:val="20"/>
          <w:szCs w:val="20"/>
          <w:color w:val="auto"/>
        </w:rPr>
      </w:pPr>
    </w:p>
    <w:p>
      <w:pPr>
        <w:ind w:right="300" w:firstLine="318"/>
        <w:spacing w:after="0" w:line="275" w:lineRule="auto"/>
        <w:rPr>
          <w:sz w:val="20"/>
          <w:szCs w:val="20"/>
          <w:color w:val="auto"/>
        </w:rPr>
      </w:pPr>
      <w:r>
        <w:rPr>
          <w:rFonts w:ascii="Times New Roman" w:cs="Times New Roman" w:eastAsia="Times New Roman" w:hAnsi="Times New Roman"/>
          <w:sz w:val="17"/>
          <w:szCs w:val="17"/>
          <w:color w:val="auto"/>
        </w:rPr>
        <w:t>Our business and prospects heavily depend on our ability to develop, maintain, and strengthen our Sono brand. The automobile industry is intensely competitive and introducing a new vehicle brand to compete with existing, established brands presents significant challenges. Many of our current and potential competitors, particularly car manufacturers headquartered in the United States, EU, Japan and China, have greater name recognition, broader customer relationships and substantially greater marketing resources than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do. Establishing our vehicle brand requires substantial resources and we may not succeed in establishing, maintaining and strengthening our brand. We do not intend to maintain a dealership network, which could negatively affect our brand recognition, customer awareness or our ability to provide satisfactory levels of customer service. Our brand and reputation could be severely harmed by negative publicity with respect to us, our directors, officers, employees, shareholders, peers, business partners, customers or our industry in general. Any actual or alleged misconduct by, or negative publicity relating to, any of our business partners and their products or services could have a significant negative impact on our business and reputation whether or not such publicity is directly related to their collaboration with us. Our ability to successfully build our brand could also be adversely affected by any negative perception about the quality of our business partners’ products or services, if, for example, a certain car component to be used in the Sion does not meet required safety standards or lacks the required or promoted functionality. This aspect is particularly relevant with respect to prominently marketed parts such as the electric batteries for our vehicles. For example, if the batteries show higher than expected self-discharge or provide less than the promoted range, our reputation could be negatively affected and we may be faced with claims for damages. Furthermore, customers may customize their vehicles after delivery or change the charging infrastructure with aftermarket products, which may cause our vehicles not to operate properly, which, in turn, may create negative publicity and could harm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Sion or any of our future vehicles fail to perform as expected, our ability to market our electric vehicles could be harmed.</w:t>
      </w:r>
    </w:p>
    <w:p>
      <w:pPr>
        <w:spacing w:after="0" w:line="22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Sion, or any of our future vehicles, may not perform as expected or may require repair. The Sion will consist of and its performance depend on various complex components supplied by various suppliers, assembled by a third-party manufacturer. There is no guarantee that all product specifications of the Sion, which reflect our current expectations and development targets, will actually be realized at the time of the first deliveries of our vehicles or at all. The software used to operate our vehicles is complex and may contain defects and errors when first introduced. Our asset-light business model and the intended production of our vehicles by Valmet Automotive pose particular challenges to our quality management processes. Our quality management system may not be effective or sufficient and the number of defective vehicles may be substantially higher than anticipated. There can be no assurance that we will be able to detect and fix any defects in the vehicles’ hardware or software prior to commencing customer sales. The risk that we do not detect defects before the launch of the Sion and that the Sion will not comport with previously defined product specifications is heightened by our limited experience in designing, developing and manufacturing cars. We may experience product recalls in the future, which could result in the incurrence of substantial costs relating to, for example, return shipping for defective vehicles and costs associated with the repair of the underlying product defect. Any product recall may consume a significant amount of our resources. Any product defects or any other failure of our vehicles to perform as expected could harm our reputation and result in adverse publicity, lost revenue, delivery delays, product recalls, product liability claims and significant warranty and other expenses, and could have a material adverse impact on our business, financial condition, operating results and prospects.</w:t>
      </w:r>
    </w:p>
    <w:p>
      <w:pPr>
        <w:spacing w:after="0" w:line="18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use of various communication channels for our public relations activities, including our website and social media, and such activities may expose us to various risks.</w:t>
      </w:r>
    </w:p>
    <w:p>
      <w:pPr>
        <w:spacing w:after="0" w:line="159"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We are a young company and increasing brand awareness as well as a close relationship to our community are of utmost importance to us. We keep our community regularly informed and updated about our latest and most important milestones, including the development progress of the Sion, the onboarding of new suppliers and business partners, our technologies or other initiatives involving our community. The information and updates are provided through various online channels (including Facebook, Instagram, Twitter and our website and blog). We have devoted and will continue to devote significant time to such publicity work. However, there is no guarantee that our actions and promotional activities will achieve the expected results. Our continuous online activities and the focus on a close relationship with our community could make us more vulnerable than other companies to negative publicity should any of the information shared by us turn out to be unpopular or incorrect. Unfavorable publicity, including due to possibly incorrect content or statements on our website or other channels, a delay in the development and production of the Sion beyond the currently targeted date for the start of serial production or achievements of our competitors, may adversely affect our reputation, impair the relationship to our community and undermine the trust and credibility we have established.</w:t>
      </w:r>
    </w:p>
    <w:p>
      <w:pPr>
        <w:spacing w:after="0" w:line="19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Any perception that our advertisements were overly positive or that we do not live up to our promises may damage our reputation and adversely affect our business.</w:t>
      </w:r>
    </w:p>
    <w:p>
      <w:pPr>
        <w:spacing w:after="0" w:line="159"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Not all the specifications and product details we have promoted in our advertisements or public statements may be actually feasible or ultimately implemented in the Sion. There is no guarantee that all product specifications of the Sion, which we advertised and which reflect our current expectations and development targets, will actually be realized at the time of the first deliveries of our vehicles or at all. If advertised key characteristics of our vehicles, such as a specified range advantage based on our solar modules, a certain range of our batteries and a specific entry-price, turn out to be ultimately unrealistic, unfeasible or false, we may be exposed to</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negative publicity, reputational damage, cancellations, lower orders or even legal claims and litigation. For example, we advertised an interior design element of the Sion based on the integration of selected moss into the dashboard and center console of the vehicle to complement the air filter’s activity. The filter effect of the moss is, however, uncertain. In addition, a key aspect of the Sion is the range that we advertise, including the incremental range offered by the solar panels on the vehicle, and so if the Sion does not perform as advertised this could significantly impact our brand and reputation. Our public communications also may have contained, or may contain in the future, incorrect information or statements or may be subject to misperception. We often advertise our vehicles with rather general characteristics and specifications that are subject to interpretation, such as “green,” “environmentally friendly” or “battery reach” and any statement relating thereto may spark discussions, challenges or legal claims should any of our customers or other third party have an understanding of these characteristics and specifications that differs from ours.</w:t>
      </w:r>
    </w:p>
    <w:p>
      <w:pPr>
        <w:spacing w:after="0" w:line="190"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7"/>
          <w:szCs w:val="17"/>
          <w:color w:val="auto"/>
        </w:rPr>
        <w:t>We also have made and may continue to make commitments to our community aiming at its involvement, such as the announcement that we would reserve one seat in our supervisory board for a community member or that customers would be particularly rewarded for their loyalty. Our brand, reputation and credibility could be significantly harmed should we ultimately not be able to realize or implement any such commitment or statement, in part or in full or as originally contemplated, due to tax, legal, practical or any other reasons and our business may be adversely affected or subjected to litigation or legal proceedings. Any negative publicity, negative customer feedback or reputational damage, whether substantiated or not, may be significantly accelerated through social media due to its immediacy, general anonymity and accessibility as a means of communication. Any of the foregoing could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advertisements may not have complied in the past and may not comply in the future with all relevant legal requirements.</w:t>
      </w:r>
    </w:p>
    <w:p>
      <w:pPr>
        <w:spacing w:after="0" w:line="222" w:lineRule="exact"/>
        <w:rPr>
          <w:sz w:val="20"/>
          <w:szCs w:val="20"/>
          <w:color w:val="auto"/>
        </w:rPr>
      </w:pPr>
    </w:p>
    <w:p>
      <w:pPr>
        <w:ind w:right="300" w:firstLine="318"/>
        <w:spacing w:after="0" w:line="253" w:lineRule="auto"/>
        <w:rPr>
          <w:sz w:val="20"/>
          <w:szCs w:val="20"/>
          <w:color w:val="auto"/>
        </w:rPr>
      </w:pPr>
      <w:r>
        <w:rPr>
          <w:rFonts w:ascii="Times New Roman" w:cs="Times New Roman" w:eastAsia="Times New Roman" w:hAnsi="Times New Roman"/>
          <w:sz w:val="18"/>
          <w:szCs w:val="18"/>
          <w:color w:val="auto"/>
        </w:rPr>
        <w:t>We cannot guarantee that all of our public statements that qualify as advertisements, or whole advertising campaigns, comply with legal requirements under competition law or other laws, rules or regulations, such as the requirement to include statements on fuel consumption and CO2 emissions in certain advertisements. Any non-compliance could lead to administrative fines and may result in us being required to discontinue a campaign. We may also be forced to publicly correct incorrect statements. Any of the foregoing could adversely affect our reputation and brand and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distribution model is different from the distribution model typically used by other car manufacturers.</w:t>
      </w:r>
    </w:p>
    <w:p>
      <w:pPr>
        <w:spacing w:after="0" w:line="222"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We intend to sell our vehicles directly to our customers over the internet rather than through traditional dealerships or company-owned retail stores. This model of vehicle distribution is relatively new and its long-term effectiveness is unproven. It subjects us to substantial risk as it requires, in the aggregate, significant expenditures and provides for slower expansion of our distribution and sales systems than may be possible by utilizing the traditional dealership system. For example, we will not be able to utilize long established sales channels developed through a dealership system to increase our sales volume. Moreover, we will be competing with car manufacturers with well established distribution channels. The implementation of our direct sales model will also be subject to numerous significant legal challenges, including obtaining permits and approvals from relevant authorities, and we may not be successful in addressing these challenges. In addition, there are substantial automotive franchise laws in place in many markets around the world and we might be exposed to significant franchise dealer litigation risks. Our success will depend in large part on our ability to effectively develop our own sales channels and marketing strategies and our inability to successfully implement such a distribution model could adversely affect our business, reputation, results of operations, financial condition and prospects.</w:t>
      </w:r>
    </w:p>
    <w:p>
      <w:pPr>
        <w:spacing w:after="0" w:line="19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servicing our vehicles. If we are unable to address the service requirements of our customers, our business will be materially and adversely affected.</w:t>
      </w:r>
    </w:p>
    <w:p>
      <w:pPr>
        <w:spacing w:after="0" w:line="159" w:lineRule="exact"/>
        <w:rPr>
          <w:sz w:val="20"/>
          <w:szCs w:val="20"/>
          <w:color w:val="auto"/>
        </w:rPr>
      </w:pPr>
    </w:p>
    <w:p>
      <w:pPr>
        <w:jc w:val="both"/>
        <w:ind w:right="60" w:firstLine="318"/>
        <w:spacing w:after="0" w:line="260" w:lineRule="auto"/>
        <w:rPr>
          <w:sz w:val="20"/>
          <w:szCs w:val="20"/>
          <w:color w:val="auto"/>
        </w:rPr>
      </w:pPr>
      <w:r>
        <w:rPr>
          <w:rFonts w:ascii="Times New Roman" w:cs="Times New Roman" w:eastAsia="Times New Roman" w:hAnsi="Times New Roman"/>
          <w:sz w:val="18"/>
          <w:szCs w:val="18"/>
          <w:color w:val="auto"/>
        </w:rPr>
        <w:t>We intend to offer our own innovative aftersales service and maintenance platform that will also focus on economical repairs and “do-it-yourself” instructions based on an online database and video manuals accessible for our customers and independent car workshops while we also plan to maintain our own network of cooperating service partners.</w:t>
      </w:r>
    </w:p>
    <w:p>
      <w:pPr>
        <w:spacing w:after="0" w:line="17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However, we do not have experience servicing, repairing or maintaining our vehicles. There is no guarantee that our innovative service concept will be successful and be able to meet customers’ needs or preferences. Traditional car manufacturers typically maintain a broad network of car dealerships where customers can bring their vehicles for servicing and maintenance. Certain car repairs, such as, for example, of the engine control unit or coil springs, of the air conditioning system or brake plumbing and reservoir, are complex and involve toxic substances. Any such repairs, which are complex and/or include hazardous substances, should generally not be conducted by lay persons and are not suitable for do-it-yourself maintenance. In addition, servicing electric vehicles is different from servicing vehicles with internal combustion engines and requires specialized skills, including high voltage training and servicing techniques. The Sion will be equipped with complex hardware and software and the integrated solar module technology adds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additional complexity to potential repair work. Depending on the specific kind of repair, service or maintenance work required for one of our cars, our customers may not be able to engage in such work by themselves, may find the experience offered by our platform unsatisfying or be involved in accidents while attempting to engage in such work without professional assistance or may be required to hire qualified experts at their own expense. Further, we are currently reviewing the future warranty regime of our vehicles and intend to avoid material conflicts between such warranty regime and our self-service platform. However, there is no guarantee that we will ultimately be able to fully reconcile our future warranty regime with our “do-it- yourself” maintenance approach and any repair or act conducted directly by our customers or a third-party service provider on our vehicles could negatively affect the warranty rights of our customers or any other rights they may have. Any such insufficiency of our self-service platform may negatively affect customers’ view of our approach, the public image of user-friendliness of our vehicles, impact the number of vehicles sold and subject us to lawsuits.</w:t>
      </w:r>
    </w:p>
    <w:p>
      <w:pPr>
        <w:spacing w:after="0" w:line="190"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We may ultimately decide to partner with a third party to perform some or all of the service and maintenance on our vehicles, and there can be no assurance that we will be able to find an external partner or that we will be able to enter into an arrangement with any such third-party provider on terms and conditions acceptable to us. Although such servicing partners may have experience in servicing vehicles in general, they will initially have limited experience in servicing our vehicles and there can be no assurance that any such service arrangements will adequately address the service requirements of our customers. If we are unable to successfully address the service requirements of our customers, our business, reputation, results of operations, financial condition and prospects will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recalls could materially adversely affect our business, prospects, operating results and financial condition.</w:t>
      </w:r>
    </w:p>
    <w:p>
      <w:pPr>
        <w:spacing w:after="0" w:line="222"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Our vehicles are complex products that include innovative and complex hardware and software components whose reliability and durability in the day-to-day wear and tear of our vehicles remains untested. In the future, we may, voluntarily or involuntarily, initiate a recall if any of our vehicles prove to be defective or noncompliant with applicable relevant vehicle safety standards. Relevant defects may include, for example, defective batteries, a lack of durability of our solar modules, intense heat development or thermal expansion of our modules, as well as defective brakes or airbags. Any product recall in the future may result in adverse publicity and damage our brand. Such recalls could involve significant expense and diversion of management attention and other resources and could adversely affect our business, prospects, financial condition and results of operations.</w:t>
      </w:r>
    </w:p>
    <w:p>
      <w:pPr>
        <w:spacing w:after="0" w:line="185"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Insufficient warranty reserves to cover future warranty claims could materially adversely affect our business, prospects, financial condition and operating results.</w:t>
      </w:r>
    </w:p>
    <w:p>
      <w:pPr>
        <w:spacing w:after="0" w:line="159"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We plan to offer a customary warranty for our vehicles. Our vehicles will be equipped with innovative and complex hardware and software, which may make them vulnerable to quality issues and/or warranty claims, particularly as we rely on a manufacturing approach where we only have limited control over processes. Once the Sion is in production, we will need to maintain warranty reserves to cover warranty-related claims. If our warranty reserves are inadequate to cover future warranty claims, we may become subject to significant and unexpected warranty expenses. There can be no assurances that then- existing warranty reserves will be sufficient to cover all claims.</w:t>
      </w:r>
    </w:p>
    <w:p>
      <w:pPr>
        <w:spacing w:after="0" w:line="16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i w:val="1"/>
          <w:iCs w:val="1"/>
          <w:color w:val="auto"/>
        </w:rPr>
        <w:t>Our vehicles will make use of lithium-iron phosphate battery cells and solar modules, which both pose certain health and safety risks.</w:t>
      </w:r>
    </w:p>
    <w:p>
      <w:pPr>
        <w:spacing w:after="0" w:line="23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batteries to be used in the Sion will make use of lithium-iron phosphate chemistry packed in the form of blade cells. On rare occasions, the blade cells can rapidly release stored energy. Any such uncontrolled and unintended outburst of energy may ignite, or cause damage to, nearby materials as well as other blade cells. Once the Sion is commercially available, any incident involving rapid release of energy from blade cells that causes damage or injury could subject us to lawsuits, product recalls or redesign efforts, any of which would be time consuming and expensive. Also, negative public perceptions regarding the suitability of lithium-iron phosphate cells for automotive applications or any future incident involving lithium-iron phosphate cells, such as a vehicle or other fire, even if such incident does not involve our vehicles, could seriously harm our business and reputation.</w:t>
      </w:r>
    </w:p>
    <w:p>
      <w:pPr>
        <w:spacing w:after="0" w:line="189"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Once manufacturing of our vehicles commences, our production partner (Valmet Automotive) may have to store a significant number of batteries at its facilities. Even if our production partner has implemented safety procedures related to the handling of the batteries, a safety issue or fire related to the batteries could disrupt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Solar modules may also pose various risks to the environment. Solar modules include components and complex systems that can fail, such as switches, fuses and wiring feeding the solar modules’ power into our vehicles’ systems. In addition, solar panels are made of chemical and potentially toxic materials, such as arsenic and cadmium, in a process that generates many toxic byproducts such as hexafluoride. These products are dangerous for the environment as well as for humans. Furthermore, solar modules may catch fire due to, for example, spontaneous combustion, either from the parts within the modules or in the surrounding environment, due to the high levels of heat produced by the device. Solar modules that catch fire may produce heat, smoke and toxic byproducts, may lead to the destruction of the vehicle or may cause bodily harm. In addition, excessive heat may significantly reduce the power output of our solar modules and negatively affect our vehicles range. Excessive heat may also lead to thermal expansion and deformation of solar modules, which can negatively affect their functionality or damage the exterior of our vehicles.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not be able to influence, control or predict the actions of customers and third parties engaging in car- sharing or ride-pooling.</w:t>
      </w:r>
    </w:p>
    <w:p>
      <w:pPr>
        <w:spacing w:after="0" w:line="233"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We will not be able to influence, control or predict the actions of customers and third parties using our technologies and innovations. We may be unable to provide a safe environment for drivers, customers or any third party exposed to our car-sharing and ride-pooling offering. Any inappropriate conduct, misconduct or criminal activity (including accidents, vandalism, cases of sexual abuse bodily harm or theft) in connection with our car-sharing and ride-pooling platform or our vehicles may significantly impair our customers’ experience, damage our brand and reputation and may expose us to legal claims. We intend to obtain insurance coverage that addresses various risks relating to our car-sharing and ride-pooling offering but there is no guarantee that we will be able to obtain such insurance coverage in a timely manner, on favorable terms, with the required scope of protection or at all. In addition, there can be no assurance that any coverage we obtain will be sufficient to cover potential claims. We may also decide to discontinue our car-sharing and ride-pooling offering at any given point in time should the offering turn out to be unprofitable, not be accepted by customers or face significant legal challenges. For example, an intense use of our car-sharing and ride-pooling platform may subject us or individuals to laws governing the (public) transport of passengers or similar laws together with the relevant legal implications.</w:t>
      </w:r>
    </w:p>
    <w:p>
      <w:pPr>
        <w:spacing w:after="0" w:line="19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our vehicles’ systems could result in loss of confidence in us and our vehicles and harm our business.</w:t>
      </w:r>
    </w:p>
    <w:p>
      <w:pPr>
        <w:spacing w:after="0" w:line="159"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Our vehicles will contain complex information technology systems and built-in data connectivity, positioning us to install periodic remote updates to improve or update functionality. We also intend to deploy our own proprietary software and mobile application solution that will provide access to our car-sharing and ride-pooling networks as well as the bidirectional power sharing solution. We have designed, implemented and tested security measures intended to prevent unauthorized access to our information technology networks, our vehicles and related systems. However, hackers may attempt to gain unauthorized access to modify, alter and use such networks, vehicles and systems to gain control of or to change our vehicles’ functionality, user interface and performance characteristics, or to gain access to data stored in, or generated by, our networks, systems or vehicles. Future vulnerabilities could be identified and our efforts to remediate such vulnerabilities may not be successful. Any leakage or loss of data may expose us to liability risks with respect to suppliers or employees as well as customers regarding personal data.</w:t>
      </w:r>
    </w:p>
    <w:p>
      <w:pPr>
        <w:spacing w:after="0" w:line="190" w:lineRule="exact"/>
        <w:rPr>
          <w:sz w:val="20"/>
          <w:szCs w:val="20"/>
          <w:color w:val="auto"/>
        </w:rPr>
      </w:pPr>
    </w:p>
    <w:p>
      <w:pPr>
        <w:ind w:right="60" w:firstLine="318"/>
        <w:spacing w:after="0" w:line="275" w:lineRule="auto"/>
        <w:rPr>
          <w:sz w:val="20"/>
          <w:szCs w:val="20"/>
          <w:color w:val="auto"/>
        </w:rPr>
      </w:pPr>
      <w:r>
        <w:rPr>
          <w:rFonts w:ascii="Times New Roman" w:cs="Times New Roman" w:eastAsia="Times New Roman" w:hAnsi="Times New Roman"/>
          <w:sz w:val="17"/>
          <w:szCs w:val="17"/>
          <w:color w:val="auto"/>
        </w:rPr>
        <w:t>Any unauthorized access to or control of our networks, systems and vehicles or their systems, illegal use of software or any loss of customer or other personal data could result in legal claims or proceedings. In addition, regardless of their veracity, reports of unauthorized access to our vehicles, systems or data, as well as other factors that may result in the perception that our vehicles, systems or data are capable of being “hacked,” could negatively affect our brand and harm our business, prospects, financial condition and operating results.</w:t>
      </w:r>
    </w:p>
    <w:p>
      <w:pPr>
        <w:spacing w:after="0" w:line="161"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information technology and communications systems could disrupt our business and affect our ability to effectively provide our services.</w:t>
      </w:r>
    </w:p>
    <w:p>
      <w:pPr>
        <w:spacing w:after="0" w:line="15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utilize information technology systems and networks as well as cloud computing services to process, transmit and store electronic information in connection with our business activities. We manage and maintain our applications and data utilizing a combination of on-site systems as well as externally managed data centers and cloud-based data centers. We utilize third-party security and infrastructure service providers to manage our information technology systems and data centers. These applications and data encompass a wide variety of business-critical information, including research and development information, commercial information, and business and financial information as well as personal data of customers or employees. In addition, we also rely on independent third-party service providers, such as Google, which play an important role for our offering, marketing channels and overall presence. Our data of any kind stored on the cloud services and on individual devices could be lost due to improper handling, insufficient commissioning of third parties to create backup copies, or due to damage or accidental or intentional deletion by our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employees. Our data could also fall into the hands of third parties, whether through espionage, hacking or due to incorrect operation of the systems.</w:t>
      </w:r>
    </w:p>
    <w:p>
      <w:pPr>
        <w:spacing w:after="0" w:line="164"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by us or our service partners, our or our service partners’ systems as well as any relevant third-party service provider will be vulnerable to damage or interruption from, among others, fire, terrorist attacks, natural disasters, power loss, telecommunications failures, computer viruses, computer denial of service attacks or other attempts to harm our systems. The relevant data centers could also be subject to break-ins, sabotage and intentional acts of vandalism causing potential disruptions. Some of our or our service providers’ systems will not be fully redundant, and our disaster recovery planning cannot account for all eventualities.</w:t>
      </w:r>
    </w:p>
    <w:p>
      <w:pPr>
        <w:spacing w:after="0" w:line="187"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7"/>
          <w:szCs w:val="17"/>
          <w:color w:val="auto"/>
        </w:rPr>
        <w:t>Any problems with or insufficiencies of our or our service providers’ data centers or services could result in lengthy interruptions of our or our service providers’ information technology systems and could also affect our vehicles. Cyber threats are persistent and constantly evolving. Such threats have increased in frequency, scope and potential impact in recent years. Information technology evolves rapidly and we or our service providers may not be able to address or anticipate all types of security threats, and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service providers, contractors or consultants will be successful in preventing cyberattacks or successfully mitigating their effects. Similarly, there can be no assurance that any third-party service provider will be successful in protecting our confidential and other data that is stored on their systems. In addition, we may suffer reputational harm or face litigation or adverse regulatory action as a result of cyberattacks or other data security breaches and may incur significant additional expense to implement further data protection measures. Any disruption of the networks and services of independent third-party service providers could also negatively affect our operations, accessibility or offering.</w:t>
      </w:r>
    </w:p>
    <w:p>
      <w:pPr>
        <w:spacing w:after="0" w:line="175"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Vehicle sales are influenced by interest rate levels and availability of credit for vehicle financing and a substantial increase in interest rates could materially and adversely affect demand for our vehicles.</w:t>
      </w:r>
    </w:p>
    <w:p>
      <w:pPr>
        <w:spacing w:after="0" w:line="159"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In certain regions, including the EU, financing for new vehicle sales has been available at relatively low interest rates for several years due to, among other factors, expansive government monetary policies. The recent increase in inflation rates will likely lead to a change in monetary policies and rising interest rates, which may in turn lead to an increase of market rates for new vehicle financing and negatively affect demand for our vehicles. Additionally, if consumer interest rates increase substantially or if financial service providers tighten lending standards or restrict their lending to certain classes of credit, customers may not desire or be able to obtain financing to purchase or lease our vehicles. As a result, a substantial increase in customer interest rates or tightening of lending standards could have a material adverse effect on our business, prospects, financial condition, results of operations, and cash flows.</w:t>
      </w:r>
    </w:p>
    <w:p>
      <w:pPr>
        <w:spacing w:after="0" w:line="18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face risks associated with our growth strategy and international operations, including unfavorable regulatory, political, tax and labor conditions, which could harm our business.</w:t>
      </w:r>
    </w:p>
    <w:p>
      <w:pPr>
        <w:spacing w:after="0" w:line="159"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Our initial market will be central Europe, with a particular focus on Germany. In the future, we intend to expand our geographic coverage beyond these markets, including to the United States and China. Due to our intention to expand our operations internationally, we may face risks associated with our growth strategy, including possible unfavorable regulatory, political, tax and labor conditions, which could harm our business, as well as incurring significant expenditures necessary for road certification in such new markets. Our operations will be subject to the local legal, political, regulatory and social requirements and economic conditions in the relevant jurisdictions. There is no guarantee that we will obtain road certifications for our vehicles in the relevant markets or at all. We have not yet checked the feasibility of a rollout of the Sion or other potential products in all the markets we may tap in the future and may identify political, regulatory, operational or practical hurdles, which may render an expansion into such a market unfeasible.</w:t>
      </w:r>
    </w:p>
    <w:p>
      <w:pPr>
        <w:spacing w:after="0" w:line="185"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We have no experience to date selling our vehicles. Any international sales would require us to make significant expenditures, including the potential hiring of local employees and potential establishment of local offices or facilities, in advance of generating any revenues. We are subject to a number of risks associated with international business activities that may increase our costs, impact our ability to sell our electric vehicles and require significant management attention and which we may not have adequately addressed or not addressed at all as of today. These risks include:</w:t>
      </w:r>
    </w:p>
    <w:p>
      <w:pPr>
        <w:spacing w:after="0" w:line="182" w:lineRule="exact"/>
        <w:rPr>
          <w:sz w:val="20"/>
          <w:szCs w:val="20"/>
          <w:color w:val="auto"/>
        </w:rPr>
      </w:pPr>
    </w:p>
    <w:p>
      <w:pPr>
        <w:ind w:left="680" w:right="700" w:hanging="328"/>
        <w:spacing w:after="0" w:line="274" w:lineRule="auto"/>
        <w:tabs>
          <w:tab w:leader="none" w:pos="68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conforming our vehicles to various international regulatory requirements where our vehicles are sold, including potential additional road or other certification requirements;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hanging="328"/>
        <w:spacing w:after="0"/>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difficulty in staffing and managing foreign operations;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misconceptions and/or false assumptions about foreign local markets;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difficulty in establishing our brand and attracting customers in new jurisdictions;</w:t>
      </w:r>
    </w:p>
    <w:p>
      <w:pPr>
        <w:spacing w:after="0" w:line="217" w:lineRule="exact"/>
        <w:rPr>
          <w:rFonts w:ascii="Times New Roman" w:cs="Times New Roman" w:eastAsia="Times New Roman" w:hAnsi="Times New Roman"/>
          <w:sz w:val="18"/>
          <w:szCs w:val="18"/>
          <w:color w:val="231F20"/>
        </w:rPr>
      </w:pPr>
    </w:p>
    <w:p>
      <w:pPr>
        <w:ind w:left="680" w:right="100" w:hanging="328"/>
        <w:spacing w:after="0" w:line="274" w:lineRule="auto"/>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labor laws, regulations and restrictions as well as strikes or work stoppages organized by labor unions relevant for us, our suppliers or business partners;</w:t>
      </w:r>
    </w:p>
    <w:p>
      <w:pPr>
        <w:spacing w:after="0" w:line="164" w:lineRule="exact"/>
        <w:rPr>
          <w:rFonts w:ascii="Times New Roman" w:cs="Times New Roman" w:eastAsia="Times New Roman" w:hAnsi="Times New Roman"/>
          <w:sz w:val="18"/>
          <w:szCs w:val="18"/>
          <w:color w:val="231F20"/>
        </w:rPr>
      </w:pPr>
    </w:p>
    <w:p>
      <w:pPr>
        <w:jc w:val="both"/>
        <w:ind w:left="680" w:right="160" w:hanging="328"/>
        <w:spacing w:after="0" w:line="260" w:lineRule="auto"/>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government taxes, regulations and permit requirements, including foreign taxes that we may not be able to offset against taxes imposed upon us in Germany or The Netherlands, and foreign tax and other laws limiting our ability to repatriate funds to The Netherlands;</w:t>
      </w:r>
    </w:p>
    <w:p>
      <w:pPr>
        <w:spacing w:after="0" w:line="176" w:lineRule="exact"/>
        <w:rPr>
          <w:rFonts w:ascii="Times New Roman" w:cs="Times New Roman" w:eastAsia="Times New Roman" w:hAnsi="Times New Roman"/>
          <w:sz w:val="18"/>
          <w:szCs w:val="18"/>
          <w:color w:val="231F20"/>
        </w:rPr>
      </w:pPr>
    </w:p>
    <w:p>
      <w:pPr>
        <w:ind w:left="680" w:right="20" w:hanging="328"/>
        <w:spacing w:after="0" w:line="274" w:lineRule="auto"/>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foreign currency exchange rates and interest rates, including risks related to any interest rate swap or other hedging activities we undertake;</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government trade restrictions, tariffs and price or exchange controls;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diplomatic and trade relationships; and</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political instability, natural disasters, war or events of terrorism.</w:t>
      </w:r>
    </w:p>
    <w:p>
      <w:pPr>
        <w:spacing w:after="0" w:line="218"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If we fail to successfully address these risks, our business, prospects, operating results and financial condition could be materially harmed.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future growth effectively, we may not be able to market and sell our vehicles successfully.</w:t>
      </w:r>
    </w:p>
    <w:p>
      <w:pPr>
        <w:spacing w:after="0" w:line="22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Any failure to manage our future growth effectively could materially and adversely affect our business, prospects, operating results and financial condition. Our internal organization currently follows a “teal” approach that advocates employee autonomy, self-organization and organic adaptation to business growth. This organizational approach may prove less efficient or impractical as our business grows and organic adaptation of our internal organization to our growing operations may fail. We may have to invest significant additional resources and focus our attention on adapting our internal organization, function and processes which may cause distraction from our operations and negatively affect our business. We may not be able to hire an adequate number of new and qualified employees to support our growth strategy.</w:t>
      </w:r>
    </w:p>
    <w:p>
      <w:pPr>
        <w:spacing w:after="0" w:line="18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employees and hire qualified management, technical and vehicle engineering personnel, our ability to compete could be harmed.</w:t>
      </w:r>
    </w:p>
    <w:p>
      <w:pPr>
        <w:spacing w:after="0" w:line="159" w:lineRule="exact"/>
        <w:rPr>
          <w:sz w:val="20"/>
          <w:szCs w:val="20"/>
          <w:color w:val="auto"/>
        </w:rPr>
      </w:pPr>
    </w:p>
    <w:p>
      <w:pPr>
        <w:ind w:right="140" w:firstLine="318"/>
        <w:spacing w:after="0" w:line="269" w:lineRule="auto"/>
        <w:rPr>
          <w:sz w:val="20"/>
          <w:szCs w:val="20"/>
          <w:color w:val="auto"/>
        </w:rPr>
      </w:pPr>
      <w:r>
        <w:rPr>
          <w:rFonts w:ascii="Times New Roman" w:cs="Times New Roman" w:eastAsia="Times New Roman" w:hAnsi="Times New Roman"/>
          <w:sz w:val="17"/>
          <w:szCs w:val="17"/>
          <w:color w:val="auto"/>
        </w:rPr>
        <w:t>The car industry is rapidly evolving, particularly in the area of e-mobility, and a carmaker’s profitability depends on technological innovation and resources. Our success in such an environment depends, to a large extent, on our management and the ability to retain our key personnel. We are a founder-led business. We depend on the skills and visions of our founders. We benefit from the expertise and knowledge of our research and development team and our competitiveness could be significantly impaired should we be unable to retain the head of our research and development team or any other team member. Any temporary or permanent unavailability or any unexpected loss of one or more of our founders, management members or key employees could adversely affect our business and competitiveness.</w:t>
      </w:r>
    </w:p>
    <w:p>
      <w:pPr>
        <w:spacing w:after="0" w:line="17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Our success also depends, in part, on our continuing ability to identify, hire, attract, train and develop highly qualified personnel. We may have to hire a significant additional number of employees in order to be able to finalize the development of the Sion and start its serial production according to our currently envisioned timelines. We may not succeed in hiring employees in sufficient numbers or at all, as our vehicles are based on a different technology platform than traditional internal combustion engines and individuals with sufficient training in electric vehicles, particularly vehicles using solar technology, are scarce, and as a result, we will need to expend significant time and money to train available employees. Competition for qualified employees is intense, and our ability to hire, attract and retain them depends, among others, on our profitability and ability to provide competitive compensation. We have a limited operating history and our brand and reputation as an employer are not as developed as that of established car manufacturers. We have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not yet generated any material revenues, significantly depend on external financing and may not be able to offer potential employees attractive or competitive remuneration.</w:t>
      </w:r>
    </w:p>
    <w:p>
      <w:pPr>
        <w:spacing w:after="0" w:line="164"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We may therefore not be able to attract, integrate, develop or retain qualified personnel in sufficient quantities or at all. Any failure to do so could adversely affect our business, including the execution of our global business strategy. Unqualified or unreliable personnel may also expose us to various risks not directly related to our operations, such as violations against insider trading laws, the misappropriation of trade and business secrets or personal data from our technology infrastructure, material incorrect entries in our accounting systems, weak management of our customer or supplier relationships or logistics management.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various liability risks resulting from past or existing employment relationships and labor laws.</w:t>
      </w:r>
    </w:p>
    <w:p>
      <w:pPr>
        <w:spacing w:after="0" w:line="22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We employ an increasing number of employees and expect our workforce to grow significantly in the short-term. However, a significant number of employees decided to leave us and we also had to terminate employment relationships with numerous individuals in the past due to various reasons. We are exposed to liability and other risks related to former employees. For example, former employees may assert that the termination of their employment relationship by us was not justified under applicable law and may seek re-employment, monetary compensation or damages. In addition, despite their termination, former employees may still claim to be, fully or partially, entitled to certain benefits granted to them while they were still employed with us, such as, for example, certain incentives, bonuses or pension entitlements.</w:t>
      </w:r>
    </w:p>
    <w:p>
      <w:pPr>
        <w:spacing w:after="0" w:line="189"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The management of a growing workforce poses various risks and challenges, particularly in the EU and Germany, where the vast majority of our workforce is located. The labor laws in Germany are complex and rather employee-friendly. For example, the German Working Time Act (</w:t>
      </w:r>
      <w:r>
        <w:rPr>
          <w:rFonts w:ascii="Times New Roman" w:cs="Times New Roman" w:eastAsia="Times New Roman" w:hAnsi="Times New Roman"/>
          <w:sz w:val="18"/>
          <w:szCs w:val="18"/>
          <w:i w:val="1"/>
          <w:iCs w:val="1"/>
          <w:color w:val="auto"/>
        </w:rPr>
        <w:t>Arbeitszeitgesetz</w:t>
      </w:r>
      <w:r>
        <w:rPr>
          <w:rFonts w:ascii="Times New Roman" w:cs="Times New Roman" w:eastAsia="Times New Roman" w:hAnsi="Times New Roman"/>
          <w:sz w:val="18"/>
          <w:szCs w:val="18"/>
          <w:color w:val="auto"/>
        </w:rPr>
        <w:t>) sets out a strict framework for, among others, the length of working shifts and resting breaks, the definition of working days and holidays, work on holidays, compensation and the obligation of employers to record working times of employees. There can be no assurance that we have complied or will comply in all material aspects with applicable labor laws, which may lead to the imposition of material fines or even criminal liability and may significantly negatively affect our reputation.</w:t>
      </w:r>
    </w:p>
    <w:p>
      <w:pPr>
        <w:spacing w:after="0" w:line="183"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including the recent COVID-19 pandemic, which could have a material adverse effect on our business and results of operations.</w:t>
      </w:r>
    </w:p>
    <w:p>
      <w:pPr>
        <w:spacing w:after="0" w:line="159"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We face various risks related to public health issues, including epidemics or pandemics, such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overall supply chain of vehicle manufacturers and suppliers, and has led to a global decrease in vehicle sales in markets around the world. Various aspects of our business cannot be conducted remotely and thus may not be carried out during work-from-home periods. The pandemic may also affect the interest of our customers in our innovative car-sharing and ride-pooling networks to which each Sion will be connected. Our car-sharing and ride-pooling solution as currently envisioned may not be compliant in all aspects with relevant or potential legislation related to COVID-19 or any other pandemic, concerning aspects such as minimum distance, the maximum number of persons allowed in a confined space or others. Any cases of infections that could be traced back to the use of one of our shared vehicles, or any other car-sharing services, whether through our fault or not, could adversely affect our reputation, customers’ interest and trust in our sharing services, as well as car-sharing services in general.</w:t>
      </w:r>
    </w:p>
    <w:p>
      <w:pPr>
        <w:spacing w:after="0" w:line="17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employee travel, work from home and cancellation or reduction of physical participation in sales activities, meetings, events and conferences), and we may take further actions as may be required by government authorities or that we determine to be in the best interests of our employees, customers, suppliers, manufacturing partners and others business partners. There is no certainty that such actions will be sufficient to mitigate the risks posed by the virus or otherwise be satisfactory to government authorities. If significant portions of our workforce are unable to work effectively, including due to illness, quarantines, social distancing, government actions or other restrictions in connection with the COVID-19 pandemic, our operations will be impacted. Measures taken to address the spread of COVID-19 may also lead to a trend to work-from-home, which could result in lower demand for cars and could negatively impact our sales and marketing activities.</w:t>
      </w:r>
    </w:p>
    <w:p>
      <w:pPr>
        <w:spacing w:after="0" w:line="185"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prospects and results of operations will depend on future developments, which are highly uncertain and cannot be predicted, including, but not limited to, the duration and spread of the pandemic, its severity, the existence or emergence of potentially more infectious or harmful variants, the actions to contain the virus or mitigate its impact, the effect and penetration of vaccinations, the availability of medication and how quickly and to what extent normal economic and operating activities can resume. The COVID-19 pandemic could limit the ability of our customers, suppliers,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third-party manufacturing partners and other business partners to perform, including third-party suppliers’ ability to provide components and materials used in our vehicles. We may also experience an increase in the cost of raw materials used in our commercial production of vehicles. Even after the COVID-19 pandemic has subsided, we may continue to experience an adverse impact to our business as a result of its global economic impact, including any recession that has occurred or may occur in the future.</w:t>
      </w:r>
    </w:p>
    <w:p>
      <w:pPr>
        <w:spacing w:after="0" w:line="182" w:lineRule="exact"/>
        <w:rPr>
          <w:sz w:val="20"/>
          <w:szCs w:val="20"/>
          <w:color w:val="auto"/>
        </w:rPr>
      </w:pPr>
    </w:p>
    <w:p>
      <w:pPr>
        <w:ind w:right="160" w:firstLine="318"/>
        <w:spacing w:after="0" w:line="253" w:lineRule="auto"/>
        <w:rPr>
          <w:sz w:val="20"/>
          <w:szCs w:val="20"/>
          <w:color w:val="auto"/>
        </w:rPr>
      </w:pPr>
      <w:r>
        <w:rPr>
          <w:rFonts w:ascii="Times New Roman" w:cs="Times New Roman" w:eastAsia="Times New Roman" w:hAnsi="Times New Roman"/>
          <w:sz w:val="18"/>
          <w:szCs w:val="18"/>
          <w:color w:val="auto"/>
        </w:rPr>
        <w:t>Difficult macroeconomic conditions, such as decreases in per capita income and level of disposable income, increased and prolonged unemployment, or a decline in consumer confidence as a result of the COVID-19 pandemic could have a material adverse effect on the demand for our vehicles. Under difficult economic conditions, potential customers may seek to reduce spending by forgoing our vehicles for other traditional options, increase use of public and mass transportation options or may choose to keep their existing vehicles, and cancel reservations.</w:t>
      </w:r>
    </w:p>
    <w:p>
      <w:pPr>
        <w:spacing w:after="0" w:line="182"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There are no comparable recent events which may provide guidance as to the effect of the spread of COVID-19 and a pandemic, and, as a result, the ultimate impact of the COVID-19 pandemic or a similar health epidemic is highly uncertain and subject to change. We do not yet know the full extent of COVID-19’s impact on our business, our operations or the global economy as a whole. However, the effects could have a material impact on our results of operations, and we will continue to monitor the situation closely.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affected as a result of disasters or unpredictable events.</w:t>
      </w:r>
    </w:p>
    <w:p>
      <w:pPr>
        <w:spacing w:after="0" w:line="222"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Our operations could be disrupted, among others, by natural disasters such as earthquakes, fires or explosions, pandemics and epidemics, power outages, terrorist attacks, cyberattacks, war or other critical events. This also applies to the operations of our suppliers and other business partners. Some of our production sites may be, should we geographically expand our operations, in regions that could be affected by natural disasters such as flooding or earthquakes. Disruptions may also result from possible regulatory or legislative changes in the relevant jurisdictions of our, our suppliers’ or our business partners’ operations.</w:t>
      </w:r>
    </w:p>
    <w:p>
      <w:pPr>
        <w:spacing w:after="0" w:line="182" w:lineRule="exact"/>
        <w:rPr>
          <w:sz w:val="20"/>
          <w:szCs w:val="20"/>
          <w:color w:val="auto"/>
        </w:rPr>
      </w:pPr>
    </w:p>
    <w:p>
      <w:pPr>
        <w:ind w:right="80" w:firstLine="318"/>
        <w:spacing w:after="0" w:line="269" w:lineRule="auto"/>
        <w:rPr>
          <w:sz w:val="20"/>
          <w:szCs w:val="20"/>
          <w:color w:val="auto"/>
        </w:rPr>
      </w:pPr>
      <w:r>
        <w:rPr>
          <w:rFonts w:ascii="Times New Roman" w:cs="Times New Roman" w:eastAsia="Times New Roman" w:hAnsi="Times New Roman"/>
          <w:sz w:val="17"/>
          <w:szCs w:val="17"/>
          <w:color w:val="auto"/>
        </w:rPr>
        <w:t>In February 2022,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could have a material impact on our results of operations, liquidity, and capital management. We will continue to monitor the situation and the effect of this development on its liquidity and capital management. At the same time, we have taken actions to maintain operations and to secure our supply chain.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16"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will have to raise substantial additional funds in the short term and potentially beyond, which may not be available to us when we need them on acceptable terms or at all.</w:t>
      </w:r>
    </w:p>
    <w:p>
      <w:pPr>
        <w:spacing w:after="0" w:line="159"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 xml:space="preserve">As of August 31, 2022, our cash and cash equivalents stood at €66.1 million. According to our current estimates, we currently expect to need additional funds of at least €242 million between the date of this prospectus and the start of the production of the Sion, which we currently envisage to begin in the second half of 2023 (based on soft tooling production to be subsequently replaced by hard tooling), for additional development activities, the initiation of serial production and obtaining of street certification and to finance overhead costs until then. In order to meet the targeted date for the start of production, we expect that we need to raise approximately half of the required external funding in the fourth quarter of 2022 and the remainder in 2023 and we may not be able to raise the required funds within this time frame, or at all. These funds are required for the completion of the development and testing of the Sion, the acquisition of the relevant production and supplier tooling for the Sion (such as test-benches, manufacturing equipment for parts, machinery for body construction and final assembly) and our operational expenditures. We have been and are actively considering various financing options, including registered offerings of newly issued shares and other equity securities. We face challenges in raising the required funding in a timely manner or at all, including due to the challenging capital markets environment, and therefore it is uncertain if sufficient financing can be obtained to meet our targeted date for the start of production or to continue as a going concern. Any delay of the start of production will lead to higher funding needs. See also “— </w:t>
      </w:r>
      <w:r>
        <w:rPr>
          <w:rFonts w:ascii="Times New Roman" w:cs="Times New Roman" w:eastAsia="Times New Roman" w:hAnsi="Times New Roman"/>
          <w:sz w:val="17"/>
          <w:szCs w:val="17"/>
          <w:i w:val="1"/>
          <w:iCs w:val="1"/>
          <w:color w:val="auto"/>
        </w:rPr>
        <w:t>Risks Related to Our Business and Operations — Our ability to develop vehicles is unproven and we may fail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finalize development and realize the commercialization of the Sion within the intended timeframe, budget or at all.</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Our available cash and cash equivalents, even when taken together with the maximum proceeds from sales under the Purchase Agreement to the Selling Shareholder, will not be sufficient to secure our needs through the start of production of the Sion. Accordingly, we will need to raise additional capital in significant amounts in the near future and we may not be able to raise the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required funds within this time frame, or at all. Our funding needs may even increase beyond our current projections should we have to significantly change the design and development of the Sion due to, for example, undiscovered design flaws, lacking certification of, or a need to reengineer, car components, the replacement of one of our suppliers, a higher need for personnel than planned, or regulatory changes regarding, for example, increased safety standards, such as a requirement for a certain driver assistance system. Shifts in the timeline due to a lack of required financing or development taking longer than originally anticipated may also increase our external financing requirements. We would also have to secure additional financing should we decide to grow and expand our product portfolio and operations. Inflation and other external factors, such as supply shortage as a result of the Russo-Ukrainian war, may also lead to an increase in our funding needs.</w:t>
      </w:r>
    </w:p>
    <w:p>
      <w:pPr>
        <w:spacing w:after="0" w:line="185"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may find that our efforts related to the growth of our operations are more expensive than we currently anticipate or may not be available at all, and these efforts may not result in revenues, which would further increase our losses and external financing needs. If we are unable to raise required funding, we may not reach commercial operations. Our ability to generate revenue and achieve profitability in the future depends in large part on our ability, alone or with our business partners, to achieve milestones and to successfully complete the development of, obtain the necessary regulatory approvals for, and commercialize, our vehicles and/or solar technologies. We may never succeed in these activities and may never generate revenue from vehicle sales that is significant enough to achieve profitability. Even if we achieve profitability in the future, we may not be able to sustain profitability in subsequent periods.</w:t>
      </w:r>
    </w:p>
    <w:p>
      <w:pPr>
        <w:spacing w:after="0" w:line="189"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 xml:space="preserve">If we cannot raise additional funds when we need them, our financial condition, results of operations, business and prospects could be materially adversely affected and we may not be able to successfully finalize, market and commercialize the Sion. See “— </w:t>
      </w:r>
      <w:r>
        <w:rPr>
          <w:rFonts w:ascii="Times New Roman" w:cs="Times New Roman" w:eastAsia="Times New Roman" w:hAnsi="Times New Roman"/>
          <w:sz w:val="18"/>
          <w:szCs w:val="18"/>
          <w:i w:val="1"/>
          <w:iCs w:val="1"/>
          <w:color w:val="auto"/>
        </w:rPr>
        <w:t>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and Operations—We are an early-stage company with a history of significant losses and expect continuing losses for the foreseeable future, which lead to continued reliance on significant external financing and raise substantial doubt about our ability to continue as a going concern.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5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may apply for federal and state grants, loans and tax incentives under various government programs designed to stimulate the economy or to support the production of electric vehicles and related technologies. We anticipate that there may be new opportunities for us to apply for grants, loans and other incentives from the German federal or state government(s), the EU or other governments or quasi-governmental organizations.</w:t>
      </w:r>
    </w:p>
    <w:p>
      <w:pPr>
        <w:spacing w:after="0" w:line="182" w:lineRule="exact"/>
        <w:rPr>
          <w:sz w:val="20"/>
          <w:szCs w:val="20"/>
          <w:color w:val="auto"/>
        </w:rPr>
      </w:pPr>
    </w:p>
    <w:p>
      <w:pPr>
        <w:ind w:right="140" w:firstLine="318"/>
        <w:spacing w:after="0" w:line="253" w:lineRule="auto"/>
        <w:rPr>
          <w:sz w:val="20"/>
          <w:szCs w:val="20"/>
          <w:color w:val="auto"/>
        </w:rPr>
      </w:pPr>
      <w:r>
        <w:rPr>
          <w:rFonts w:ascii="Times New Roman" w:cs="Times New Roman" w:eastAsia="Times New Roman" w:hAnsi="Times New Roman"/>
          <w:sz w:val="18"/>
          <w:szCs w:val="18"/>
          <w:color w:val="auto"/>
        </w:rPr>
        <w:t>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or elimination of government and economic incentives or imposition of any additional taxes or surcharges could have a material adverse effect on the development of the e-mobility market, our business, prospects, financial condition and operating results.</w:t>
      </w:r>
    </w:p>
    <w:p>
      <w:pPr>
        <w:spacing w:after="0" w:line="175"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Many governments have established e-mobility funding programs, government subsidies, tax benefits and other economic purchase incentives in relation to the acquisition of electric vehicles. Any reduction, elimination or discriminatory application of government funding programs or subsidies and other economic incentives or imposition of any additional taxes and surcharges may negatively impact the competitiveness of the electric vehicle industry generally or the Sion in particular.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in the foreseeable future.</w:t>
      </w:r>
    </w:p>
    <w:p>
      <w:pPr>
        <w:spacing w:after="0" w:line="222"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We currently intend to retain our future earnings, if any, for the foreseeable future, to fund the completion of development of the Sion and start of its serial production, as well as the growth of our business. We currently do not intend to pay any dividends to holders of our ordinary shares. As a result, capital appreciation in the price of our ordinary shares, if any, will be your only source of gain on an investment in our ordinary shares.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Tax Risks</w:t>
      </w:r>
    </w:p>
    <w:p>
      <w:pPr>
        <w:spacing w:after="0" w:line="216" w:lineRule="exact"/>
        <w:rPr>
          <w:sz w:val="20"/>
          <w:szCs w:val="20"/>
          <w:color w:val="auto"/>
        </w:rPr>
      </w:pPr>
    </w:p>
    <w:p>
      <w:pPr>
        <w:ind w:right="8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substantial regulation and unfavorable changes to, or failure by us to comply with, these regulations could substantially harm our business and operating results.</w:t>
      </w:r>
    </w:p>
    <w:p>
      <w:pPr>
        <w:spacing w:after="0" w:line="159"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 xml:space="preserve">Electric vehicles as well as certain of our innovative solutions are subject to substantial regulation under international, national, regional, and local laws. We expect to incur significant costs in complying with these regulations. In addition, additional regulatory costs or hurdles may materialize in the future as we expand our operations, as we have not yet assessed all relevant legal aspects of our operations and current business model with respect to the relevant legal framework of all jurisdictions we may conduct business </w:t>
      </w:r>
      <w:r>
        <w:rPr>
          <w:rFonts w:ascii="Times New Roman" w:cs="Times New Roman" w:eastAsia="Times New Roman" w:hAnsi="Times New Roman"/>
          <w:sz w:val="17"/>
          <w:szCs w:val="17"/>
          <w:color w:val="231F20"/>
        </w:rPr>
        <w:t>in. For example,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car-sharing and ride-pooling solution as currently envisioned may not be feasible in all relevant jurisdictions and may conflict with local laws on the transport of passengers. For example, customers who offer ride-pooling on a regular basis in return for payment may require a governmental </w:t>
      </w:r>
      <w:r>
        <w:rPr>
          <w:rFonts w:ascii="Times New Roman" w:cs="Times New Roman" w:eastAsia="Times New Roman" w:hAnsi="Times New Roman"/>
          <w:sz w:val="17"/>
          <w:szCs w:val="17"/>
          <w:color w:val="000000"/>
        </w:rPr>
        <w:t>license for the transport of persons in certain jurisdictions. Furthermore, our power sharing solutions to be included in our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vehicles, which may allow for transfer of power from a vehicle in return for a payment, may have to comply with calibration laws in certain jurisdictions and any violations could have significant implications for any individual making use of such a solution or us.</w:t>
      </w:r>
    </w:p>
    <w:p>
      <w:pPr>
        <w:spacing w:after="0" w:line="173"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 xml:space="preserve">Furthermore, regulations related to the electric vehicle industry and alternative energy are evolving and we face risks associated with changes to these regulations, including, but not limited to, increased sensitivity by regulators to the needs of established automobile manufacturers with large employment bases, high fixed costs and business </w:t>
      </w:r>
      <w:r>
        <w:rPr>
          <w:rFonts w:ascii="Times New Roman" w:cs="Times New Roman" w:eastAsia="Times New Roman" w:hAnsi="Times New Roman"/>
          <w:sz w:val="18"/>
          <w:szCs w:val="18"/>
          <w:color w:val="231F20"/>
        </w:rPr>
        <w:t>models</w:t>
      </w:r>
      <w:r>
        <w:rPr>
          <w:rFonts w:ascii="Times New Roman" w:cs="Times New Roman" w:eastAsia="Times New Roman" w:hAnsi="Times New Roman"/>
          <w:sz w:val="18"/>
          <w:szCs w:val="18"/>
          <w:color w:val="auto"/>
        </w:rPr>
        <w:t xml:space="preserve"> based on the internal combustion engine, which could lead them to pass regulations that could reduce the compliance costs of such established manufacturers or mitigate the effects of government efforts to promote electric vehicles. Regulators may specifically support selected established automobile manufacturers in their transition from internal combustion engine technologies to alternative technologies, which may distort competition in the e-mobility market. In addition, the adoption of new or amendment of existing regulations or frameworks regarding the subsidization of electric vehicles or the promotion of alternative fuel concepts could negatively affect demand for our vehicles or electric vehicles in general. Furthermore, changes to the regulations governing the assembly and transportation of battery cells could increase the cost of battery cells or make such commodities more difficult to obtain.</w:t>
      </w:r>
    </w:p>
    <w:p>
      <w:pPr>
        <w:spacing w:after="0" w:line="18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To the extent laws change, our vehicles may not comply with applicable international, national, regional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regulatory and other challenges attempting to sell our vehicles directly to customers.</w:t>
      </w:r>
    </w:p>
    <w:p>
      <w:pPr>
        <w:spacing w:after="0" w:line="222"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Our business plan includes the direct sale of the Sion to our customers via pre-orders that can be placed on our website in order to provide a cost-efficient marketing approach and save dealer margins. Certain jurisdictions, which may become relevant for our operations in the future, require a license to sell vehicles within that jurisdiction, prohibit carmakers from directly selling vehicles to customers or require a physical dealership within that jurisdiction to deliver vehicles to customers. We have not performed complete legal analyses for all potentially relevant jurisdictions in which we may sell our vehicles.</w:t>
      </w:r>
    </w:p>
    <w:p>
      <w:pPr>
        <w:spacing w:after="0" w:line="182"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As a result, we may not be able to sell and deliver our vehicles in each relevant jurisdiction where we, currently or in the future, plan to market our vehicles, which would adversely affect our business, prospects, financial condition and operating results. In addition, the online-based marketing and sale of our vehicles to our customers may trigger local taxing obligations for our customers or us, depending on the jurisdiction from which a car is ordered, which we may not have yet considered and may make our option less attractive to customers in key markets or impose additional financial burdens.</w:t>
      </w:r>
    </w:p>
    <w:p>
      <w:pPr>
        <w:spacing w:after="0" w:line="182"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Furthermore, our distribution model is not common in the automotive industry today and is relatively new and unproven, therefore subjecting us to substantial risk as it requires, in the aggregate, significant expenditures and provides for slower expansion of our distribution and sales systems than may be possible by utilizing the traditional dealer franchise system. For example, we will not be able to utilize long established sales channels developed through a franchise system to increase our sales volume. Moreover, we will be competing with car manufacturers with well established distribution channels. Established car manufacturers or dealer associations may challenge or litigate any governmental license or other authorization allowing us to directly sell our vehicles or may engage in regulatory and/or legislative efforts to interpret laws or propose laws that, if enacted, would prevent us from directly selling our cars to customers. Our success will depend in large part on our ability to effectively develop our own sales channels and marketing strategies. Any workaround to realize our direct sales strategy could add significant complexity and, as a result, costs to our business.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and regulations that could impose substantial costs upon us.</w:t>
      </w:r>
    </w:p>
    <w:p>
      <w:pPr>
        <w:spacing w:after="0" w:line="22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operations, are or will be subject to international, national, regional and/or local environmental laws and regulations, including, in the jurisdictions in which we intend to sell our products, laws relating to the use, handling, storage, disposal and human exposure to hazardous materials (including the German Federal Soil Protection Act (</w:t>
      </w:r>
      <w:r>
        <w:rPr>
          <w:rFonts w:ascii="Times New Roman" w:cs="Times New Roman" w:eastAsia="Times New Roman" w:hAnsi="Times New Roman"/>
          <w:sz w:val="18"/>
          <w:szCs w:val="18"/>
          <w:i w:val="1"/>
          <w:iCs w:val="1"/>
          <w:color w:val="auto"/>
        </w:rPr>
        <w:t>Bundes-Bodenschutzgesetz</w:t>
      </w:r>
      <w:r>
        <w:rPr>
          <w:rFonts w:ascii="Times New Roman" w:cs="Times New Roman" w:eastAsia="Times New Roman" w:hAnsi="Times New Roman"/>
          <w:sz w:val="18"/>
          <w:szCs w:val="18"/>
          <w:color w:val="auto"/>
        </w:rPr>
        <w:t>), the US Comprehensive Environmental Response, Compensation and Liability Act, Regulation (EC) no. 1907/2006 (REACH). Furthermore we will be affected by the Extended Producer Responsibility, an EU policy approach under which producers are given a significant responsibility — financial and/or physical — for the treatment or disposal of post-consumer products. We may be or become subject to various environmental, social and governance-related regulations in the future, such as the EU Corporate Sustainability Reporting Directive, EU Taxonomy for sustainable activities or the Act on Corporate Due Diligence Obligations in Supply Chains (“</w:t>
      </w:r>
      <w:r>
        <w:rPr>
          <w:rFonts w:ascii="Times New Roman" w:cs="Times New Roman" w:eastAsia="Times New Roman" w:hAnsi="Times New Roman"/>
          <w:sz w:val="18"/>
          <w:szCs w:val="18"/>
          <w:i w:val="1"/>
          <w:iCs w:val="1"/>
          <w:color w:val="auto"/>
        </w:rPr>
        <w:t>Lieferkettensorgfaltspflichtengesetz</w:t>
      </w:r>
      <w:r>
        <w:rPr>
          <w:rFonts w:ascii="Times New Roman" w:cs="Times New Roman" w:eastAsia="Times New Roman" w:hAnsi="Times New Roman"/>
          <w:sz w:val="18"/>
          <w:szCs w:val="18"/>
          <w:color w:val="auto"/>
        </w:rPr>
        <w:t>”, LkSG) including as a result of recent legislative or regulatory initiatives. Environmental and health and safety laws and regulations can be complex, and we expect that we will be affected by future amendments to such laws or other new environmental and health and safety laws and regulations, which may require us to change our operations, potentially resulting in a material adverse effect on our business, prospects, financial condition and operating results.</w:t>
      </w:r>
    </w:p>
    <w:p>
      <w:pPr>
        <w:spacing w:after="0" w:line="193"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These laws can give rise to liability for administrative oversight costs, cleanup costs, property damage, bodily injury,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72"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159"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Technological innovation will be a crucial aspect of success on the electric vehicle market. We have been granted four patents for our technologies and intend to continue to file additional patent applications in the future. As the number of competitors in the electric vehicle market increases, and as the number of patents issued in this area grows, the possibility of patent infringement claims against us increases. While we are not aware that our technologies infringe the proprietary rights of any third party, we do not regularly conduct freedom to operate searches. We may also in-license patents and other intellectual property from third parties, including suppliers and service providers, and we may face claims that our use of this in-licensed technology infringes the intellectual property rights of others. In such cases, we will seek indemnification from our licensors. However, our rights to indemnification may be unavailable or insufficient to cover our costs and losses.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may be required to participate in interference, derivation or opposition proceedings that concern disputes regarding priority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inventions disclosed in our patents. Determining patent infringement by a product, as well as priority of inventions and other patent-related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involves complex legal and factual issues and the outcome is often uncertain. We have not conducted any significant search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issued to third parties, and third-party patents containing claims covering our technology or methods that predate our patents may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 Because of the number of patents issued and patent applications filed in our technical areas or fields (including some pertaining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to electric vehicles), our competitors or other third-parties may assert that our technology and the methods we employ in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products incorporating our technology are covered by patents held by them. In addition, because patent applications can take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many years to issue and because publication schedules for pending applications vary by jurisdiction, we may not be aware of certain patent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applications that are currently pending, which applications may result in issued patents that our technology or other future products would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infringe. Also, because the claims of published patent applications can change between publication and patent grant, there may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published patent applications that may ultimately issue with claims that we infringe.</w:t>
      </w:r>
    </w:p>
    <w:p>
      <w:pPr>
        <w:spacing w:after="0" w:line="19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The Sion will make use of complex hardware and software solutions and we may not have the resources to sufficiently assess potential infringements of third-party patents or other intellectual property rights. Our ability to successfully commercialize the Sion may be significantly impaired should any of its components violate third parties’ intellectual property rights, particularly with respect to our key technologies, such as our solar technology. The scope of patent claims is subject to construction based on interpretation of the law, the written disclosure in a patent and the patent’s prosecution history. Our interpretation of the relevance or the scope of a patent or a pending application may be incorrect. Established car manufacturers or other market players may invest significant resources and capital to protect their intellectual property and scan the market for potential violations. There is a heightened risk that inquiries or legal proceedings based on the alleged violation of intellectual property rights are initiated by established car manufacturers that develop and test technologies similar to ours and that have much more resources and funds than us. Other companies owning patents or other intellectual property rights relating to technologies relevant for us, such as battery packs, solar modules, power sharing solutions or electronic power management systems may also allege infringement of such rights. In addition, we may also be exposed to claims from individuals who were or are engaged in the design and development of our vehicles or technologies. The publicity interest we receive as a public company draws significant attention to us and likely generally increases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risks of such claims and legal proceedings, no matter whether such claims lack the required merits or not or are of merely fraudulent nature.</w:t>
      </w:r>
    </w:p>
    <w:p>
      <w:pPr>
        <w:spacing w:after="0" w:line="229"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In response to a determination that we have infringed upon a third party’s intellectual property rights, we may be required to do one or more of the following:</w:t>
      </w:r>
    </w:p>
    <w:p>
      <w:pPr>
        <w:spacing w:after="0" w:line="164" w:lineRule="exact"/>
        <w:rPr>
          <w:sz w:val="20"/>
          <w:szCs w:val="20"/>
          <w:color w:val="auto"/>
        </w:rPr>
      </w:pPr>
    </w:p>
    <w:p>
      <w:pPr>
        <w:ind w:left="680" w:right="680" w:hanging="328"/>
        <w:spacing w:after="0" w:line="274" w:lineRule="auto"/>
        <w:tabs>
          <w:tab w:leader="none" w:pos="6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cease or delay development, production, sales or use of the Sion or any other of our vehicles that incorporate the asserted intellectual property in general or in certain jurisdictions;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substantial damages, settlements or ongoing royalties;</w:t>
      </w:r>
    </w:p>
    <w:p>
      <w:pPr>
        <w:spacing w:after="0" w:line="217" w:lineRule="exact"/>
        <w:rPr>
          <w:rFonts w:ascii="Times New Roman" w:cs="Times New Roman" w:eastAsia="Times New Roman" w:hAnsi="Times New Roman"/>
          <w:sz w:val="18"/>
          <w:szCs w:val="18"/>
          <w:color w:val="231F20"/>
        </w:rPr>
      </w:pPr>
    </w:p>
    <w:p>
      <w:pPr>
        <w:ind w:left="680" w:right="80" w:hanging="328"/>
        <w:spacing w:after="0" w:line="274" w:lineRule="auto"/>
        <w:tabs>
          <w:tab w:leader="none" w:pos="6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 license from the owner of the asserted intellectual property right, which license may not be available on reasonable terms or at all;</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 into cross-licenses with our competitors; or</w:t>
      </w:r>
    </w:p>
    <w:p>
      <w:pPr>
        <w:spacing w:after="0" w:line="217" w:lineRule="exact"/>
        <w:rPr>
          <w:rFonts w:ascii="Times New Roman" w:cs="Times New Roman" w:eastAsia="Times New Roman" w:hAnsi="Times New Roman"/>
          <w:sz w:val="18"/>
          <w:szCs w:val="18"/>
          <w:color w:val="231F20"/>
        </w:rPr>
      </w:pPr>
    </w:p>
    <w:p>
      <w:pPr>
        <w:ind w:left="680" w:right="440" w:hanging="328"/>
        <w:spacing w:after="0" w:line="274" w:lineRule="auto"/>
        <w:tabs>
          <w:tab w:leader="none" w:pos="6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redesign one or more aspects or systems of our vehicles, which may require us to invest substantial resources in the redesign process.</w:t>
      </w:r>
    </w:p>
    <w:p>
      <w:pPr>
        <w:spacing w:after="0" w:line="16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spacing w:after="0" w:line="189"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The outcome of intellectual property litigation is subject to uncertainties that cannot be adequately quantified in advance. Because of the substantial amount of discovery required in certain jurisdictions in connection with intellectual property litigation, there is a risk that some of our confidential information could be compromised by disclosure during this type of litigation. If we are required to obtain a license from any third party in order to use the infringing technology and continue developing, manufacturing or marketing our vehicles, we may not be able to obtain such required license on commercially reasonable terms or at all, including due to competitors being unwilling to provide us a license under any terms. A successful claim of infringement of intellectual property against us could therefore materially adversely affect our business, prospects, operating results and financial condition. Any litigation or claims, whether valid or invalid, could result in substantial costs and diversion of resources and we have not yet created any reserves for litigation related to intellectual property.</w:t>
      </w:r>
    </w:p>
    <w:p>
      <w:pPr>
        <w:spacing w:after="0" w:line="173"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which may adversely affect our business.</w:t>
      </w:r>
    </w:p>
    <w:p>
      <w:pPr>
        <w:spacing w:after="0" w:line="15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trademark registrations and applications are valuable assets and may be challenged, infringed, circumvented or declared generic or determined to infringe a third party’s trademarks. In March 2022, we filed eight new trademarks with the European Union Intellectual Property Office. Each of those new trademarks has been opposed by two separate opponents. We may not be able to protect our rights to these trademark registrations or applications, which may be necessary to build name recognition among potential collaborators or customers in our markets of interest. For example, we have failed in some jurisdictions to obtain protection for our circle with a dot in the middle, if it is not combined with other distinctive elements. In China, objections have been filed to our trademark application for our circle with a dot in the middle, the Sono name, and the combination of the Sono name and our circle with a dot in the middle. Equally, there can be no assurance that we will be successful in registering additional or replacement trademarks if we were to engage in a rebranding. At times, competitors may adopt trademarks or trade names similar to ours, thereby impeding our ability to build brand identity and possibly leading to market confusion. In addition, there could be potential trademark infringement claims brought by owners of other trademarks or trademarks that incorporate variations of our trademark registrations or applications. We have not conducted any availability searches for trademarks to assess whether our trademark registrations would not infringe a third party’s trademarks, or whether our trademark applications would be successfully registered. We can provide no assurance that our pending trademark applications will be approved. Successful third-party challenges to the use of any of our trademarks may require us to rebrand our business or certain products or services associated therewith.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auto"/>
        </w:rPr>
        <w:t>Over the long term, if we are unable to establish name recognition based on our trademarks, then we may not be able to compete effectively and our business may be adversely affected. We may fail to adequately maintain the quality of our products and services associated with our trademarks, and any loss to the distinctiveness of our trademarks may cause us to lose certain trademark protection, which could result in the loss of goodwill and brand recognition in relation to our name and products. In addition, we may license our trademarks to third parties, such as distributors. Though these license agreements may provide guidelines for how our trademarks may be used, a breach of these agreements or misuse of our trademarks by these licensees may jeopardize our rights in or diminish the goodwill associated with our trademarks. Our efforts in enforcing or protecting our trademarks may be ineffective and could result in substantial costs and diversion of resources and adversely affect our business.</w:t>
      </w:r>
    </w:p>
    <w:p>
      <w:pPr>
        <w:spacing w:after="0" w:line="18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 or claims asserting ownership of what we regard as our own intellectual property.</w:t>
      </w:r>
    </w:p>
    <w:p>
      <w:pPr>
        <w:spacing w:after="0" w:line="159"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Some of our employees were previously employed at other companies that may have proprietary rights related to our business. Some of these employees may have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their former employers. We are not aware of any such disclosures, or threatened or pending claims related to these matters, but in the future, litigation may be necessary to defend against such claims. If we fail to defend any such claims, we may lose valuable intellectual property rights or personnel, and may be required to pay monetary damages and be enjoined from conducting our business as contemplated. Even if we are successful in defending against such claims, litigation can be expensive and time-consuming.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2"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example:</w:t>
      </w:r>
    </w:p>
    <w:p>
      <w:pPr>
        <w:spacing w:after="0" w:line="218" w:lineRule="exact"/>
        <w:rPr>
          <w:sz w:val="20"/>
          <w:szCs w:val="20"/>
          <w:color w:val="auto"/>
        </w:rPr>
      </w:pPr>
    </w:p>
    <w:p>
      <w:pPr>
        <w:ind w:left="680" w:right="220" w:hanging="328"/>
        <w:spacing w:after="0" w:line="304" w:lineRule="auto"/>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others may be able to make products or processes that are identical or similar to any product or process we may develop and commercialize or utilize similar intellectual property or technologies that we now or may in the future own or have in-licensed;</w:t>
      </w:r>
    </w:p>
    <w:p>
      <w:pPr>
        <w:spacing w:after="0" w:line="141" w:lineRule="exact"/>
        <w:rPr>
          <w:rFonts w:ascii="Times New Roman" w:cs="Times New Roman" w:eastAsia="Times New Roman" w:hAnsi="Times New Roman"/>
          <w:sz w:val="17"/>
          <w:szCs w:val="17"/>
          <w:color w:val="231F20"/>
        </w:rPr>
      </w:pPr>
    </w:p>
    <w:p>
      <w:pPr>
        <w:ind w:left="680" w:right="80" w:hanging="328"/>
        <w:spacing w:after="0" w:line="274"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future licensors or collaborators might not have been the first to make the inventions covered by the patents or pending patent applications that we own or have in-licensed;</w:t>
      </w:r>
    </w:p>
    <w:p>
      <w:pPr>
        <w:spacing w:after="0" w:line="164" w:lineRule="exact"/>
        <w:rPr>
          <w:rFonts w:ascii="Times New Roman" w:cs="Times New Roman" w:eastAsia="Times New Roman" w:hAnsi="Times New Roman"/>
          <w:sz w:val="18"/>
          <w:szCs w:val="18"/>
          <w:color w:val="231F20"/>
        </w:rPr>
      </w:pPr>
    </w:p>
    <w:p>
      <w:pPr>
        <w:ind w:left="680" w:right="100" w:hanging="328"/>
        <w:spacing w:after="0" w:line="274"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future licensors or collaborators might not have been the first to file patent applications covering certain of our or their inventions;</w:t>
      </w:r>
    </w:p>
    <w:p>
      <w:pPr>
        <w:spacing w:after="0" w:line="164" w:lineRule="exact"/>
        <w:rPr>
          <w:rFonts w:ascii="Times New Roman" w:cs="Times New Roman" w:eastAsia="Times New Roman" w:hAnsi="Times New Roman"/>
          <w:sz w:val="18"/>
          <w:szCs w:val="18"/>
          <w:color w:val="231F20"/>
        </w:rPr>
      </w:pPr>
    </w:p>
    <w:p>
      <w:pPr>
        <w:ind w:left="680" w:right="180" w:hanging="328"/>
        <w:spacing w:after="0" w:line="274"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independently develop similar or alternative intellectual property or technologies or duplicate any of our intellectual property or technologies without infringing our owned or in-licensed intellectual property rights;</w:t>
      </w:r>
    </w:p>
    <w:p>
      <w:pPr>
        <w:spacing w:after="0" w:line="164" w:lineRule="exact"/>
        <w:rPr>
          <w:rFonts w:ascii="Times New Roman" w:cs="Times New Roman" w:eastAsia="Times New Roman" w:hAnsi="Times New Roman"/>
          <w:sz w:val="18"/>
          <w:szCs w:val="18"/>
          <w:color w:val="231F20"/>
        </w:rPr>
      </w:pPr>
    </w:p>
    <w:p>
      <w:pPr>
        <w:ind w:left="680" w:right="100" w:hanging="328"/>
        <w:spacing w:after="0" w:line="274"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possible that our pending patent applications or those that we may own or in-license in the future will not lead to issuance of patents;</w:t>
      </w:r>
    </w:p>
    <w:p>
      <w:pPr>
        <w:spacing w:after="0" w:line="164" w:lineRule="exact"/>
        <w:rPr>
          <w:rFonts w:ascii="Times New Roman" w:cs="Times New Roman" w:eastAsia="Times New Roman" w:hAnsi="Times New Roman"/>
          <w:sz w:val="18"/>
          <w:szCs w:val="18"/>
          <w:color w:val="231F20"/>
        </w:rPr>
      </w:pPr>
    </w:p>
    <w:p>
      <w:pPr>
        <w:ind w:left="680" w:right="160" w:hanging="328"/>
        <w:spacing w:after="0" w:line="274"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that we own or have in-licensed may be held invalid or unenforceable, including as a result of legal challenges by our or our licensors’ competitors;</w:t>
      </w:r>
    </w:p>
    <w:p>
      <w:pPr>
        <w:spacing w:after="0" w:line="164" w:lineRule="exact"/>
        <w:rPr>
          <w:rFonts w:ascii="Times New Roman" w:cs="Times New Roman" w:eastAsia="Times New Roman" w:hAnsi="Times New Roman"/>
          <w:sz w:val="18"/>
          <w:szCs w:val="18"/>
          <w:color w:val="231F20"/>
        </w:rPr>
      </w:pPr>
    </w:p>
    <w:p>
      <w:pPr>
        <w:ind w:left="680" w:right="140" w:hanging="328"/>
        <w:spacing w:after="0" w:line="260"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might conduct research and development activities in countries where we do not have patent rights and then use the information learned from such activities to develop competitive products or processes for sale in our major commercial markets;</w:t>
      </w:r>
    </w:p>
    <w:p>
      <w:pPr>
        <w:spacing w:after="0" w:line="176"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develop additional trade secrets or proprietary know-how that is patentable;</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patents of others may have an adverse effect on our business; and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480" w:hanging="328"/>
        <w:spacing w:after="0" w:line="274" w:lineRule="auto"/>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choose not to file a patent in order to maintain certain trade secrets or proprietary know-how, and a third party may subsequently file a patent covering such trade secrets or proprietary know-how.</w:t>
      </w:r>
    </w:p>
    <w:p>
      <w:pPr>
        <w:spacing w:after="0" w:line="164"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reputation.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retain certain personal data about our customers and may be subject to various privacy laws.</w:t>
      </w:r>
    </w:p>
    <w:p>
      <w:pPr>
        <w:spacing w:after="0" w:line="222"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 Sion will, and our other future car models may, be equipped with complex information technology. The Sion will be connected to car-sharing and ride-pooling networks and our customers may access their car and define the terms of shared use via our own application. We intend to use our vehicles’ technology systems to log information about each vehicle’s use (including the vehicle location, usage patterns of car-sharing and ride-pooling options, data on defects and repairs) in order to aid us in vehicle diagnostics, repair and maintenance. We may also use such data for marketing purposes and to induce customers to ensure proper vehicle maintenance or promote car-sharing or ride-pooling. Our customers may object to the use of this data, which may increase our vehicle maintenance costs and harm our business prospects.</w:t>
      </w:r>
    </w:p>
    <w:p>
      <w:pPr>
        <w:spacing w:after="0" w:line="189" w:lineRule="exact"/>
        <w:rPr>
          <w:sz w:val="20"/>
          <w:szCs w:val="20"/>
          <w:color w:val="auto"/>
        </w:rPr>
      </w:pPr>
    </w:p>
    <w:p>
      <w:pPr>
        <w:ind w:right="60" w:firstLine="318"/>
        <w:spacing w:after="0" w:line="247" w:lineRule="auto"/>
        <w:rPr>
          <w:sz w:val="20"/>
          <w:szCs w:val="20"/>
          <w:color w:val="auto"/>
        </w:rPr>
      </w:pPr>
      <w:r>
        <w:rPr>
          <w:rFonts w:ascii="Times New Roman" w:cs="Times New Roman" w:eastAsia="Times New Roman" w:hAnsi="Times New Roman"/>
          <w:sz w:val="18"/>
          <w:szCs w:val="18"/>
          <w:color w:val="auto"/>
        </w:rPr>
        <w:t>Our customers’ information in conducting our business may subject us to legislative and regulatory burdens and requirements in the European Economic Area (“EEA”) and the United States of America that could require notification of data breaches, restrict our use of such information and hinder our ability to acquire new customers or market to existing customers. We have not yet implemented a comprehensive set of internal- or external-facing written data protection and privacy policies, procedures and rules. Non-compliance or a major breach of our network security and systems could have serious negative consequences for our business and future prospects, including possible fines, penalties and damages, reduced customer demand for our vehicles, and harm to our reputation and brand. For instance, Regulation (EU) 2016/679 of the European Parliament and of the Council of April 27, 2016 on the protection of natural persons with regard to the processing of personal data and on the free movement of such data (the General Data Protection Regulation, “GDPR”) imposes strict limitations on the processing of personal data.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and also requires the implementation of appropriate technical and organizational measures, depending on the nature of the processing activities, and imposes certain documentation obligations relating to data processing activities. The GDPR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data protection impact assessments where the data processing is likely to result in a high risk to the rights and freedoms of individuals. In case of a violation of the provisions of the GDPR, we could be subject to fines of up to €20,000,000 or up to 4% of our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In addition, local authorities may construe new regulations in a way that is even more restrictive and there is no guarantee that we will be able to comply with such restrictive approaches.</w:t>
      </w:r>
    </w:p>
    <w:p>
      <w:pPr>
        <w:spacing w:after="0" w:line="194" w:lineRule="exact"/>
        <w:rPr>
          <w:sz w:val="20"/>
          <w:szCs w:val="20"/>
          <w:color w:val="auto"/>
        </w:rPr>
      </w:pPr>
    </w:p>
    <w:p>
      <w:pPr>
        <w:jc w:val="both"/>
        <w:ind w:right="240" w:firstLine="318"/>
        <w:spacing w:after="0" w:line="260" w:lineRule="auto"/>
        <w:rPr>
          <w:sz w:val="20"/>
          <w:szCs w:val="20"/>
          <w:color w:val="auto"/>
        </w:rPr>
      </w:pPr>
      <w:r>
        <w:rPr>
          <w:rFonts w:ascii="Times New Roman" w:cs="Times New Roman" w:eastAsia="Times New Roman" w:hAnsi="Times New Roman"/>
          <w:sz w:val="18"/>
          <w:szCs w:val="18"/>
          <w:color w:val="auto"/>
        </w:rPr>
        <w:t>There is a risk that personal data that we process could become public if there were a security breach in respect of such data and, if such security breach were to occur, we could face liability under data protection laws, including the GDPR, and lose the goodwill of our customers, which may have a material adverse effect on our reputation, brand, business and financial condition.</w:t>
      </w:r>
    </w:p>
    <w:p>
      <w:pPr>
        <w:spacing w:after="0" w:line="17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 of litigation or other legal proceedings that could cause us to spend substantial resources and disrupt our business.</w:t>
      </w:r>
    </w:p>
    <w:p>
      <w:pPr>
        <w:spacing w:after="0" w:line="15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are exposed to the risk of product liability claims, regulatory action and litigation if any defect of our vehicles is alleged to have caused loss or injury. The automobile industry generally experiences an abundance of product liability claims. We face the risk of significant monetary exposure to product liability claims in the event our vehicles do not perform as expected or contain design, manufacturing, or warning defects, and to claims without merit, or in connection with malfunctions, resulting in personal injury or death. Product liability claims could arise, for example, from malfunctions, defects, quality issues relating to, or abuse of, any of our technologies implemented in or offered with our vehicles, or defects, quality issues or malfunctions related to any components used in our vehicles, such as batteries, airbags or brakes. Our risks in this area are particularly pronounced given the limited field experience of our vehicles and because we are a new entrant into the market. Any product liability claims or corresponding regulatory actions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against us could result in increased costs and could adversely affect our reputation and our perception by our customers. We may not be able to secure product liability insurance coverage on commercially acceptable terms, at reasonable costs when needed, or at all and insurance coverage might not be sufficient to cover all potential product liability claims.</w:t>
      </w:r>
    </w:p>
    <w:p>
      <w:pPr>
        <w:spacing w:after="0" w:line="176"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We may also face litigation and legal proceedings based on advertisements or other public statements should such statements turn out to be unrealistic, unfeasible or false or should the overall advertised performance or specifications of our vehicles deviate from such advertisements or public statements. For example, we publicly communicated that our vehicles will have a battery range of approximately 305 kilometers, or up to 190 miles and a weekly solar based range of up to 245 kilometers, or up to 152 miles. However, these specifications indicate our current expectations and development targets with respect to the battery- and solar-based range of our vehicles until the series production of our vehicles and there is no guarantee that our vehicles will ultimately achieve these specifications, which depend on the success of the development efforts of our battery supplier and/or us.</w:t>
      </w:r>
    </w:p>
    <w:p>
      <w:pPr>
        <w:spacing w:after="0" w:line="189"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7"/>
          <w:szCs w:val="17"/>
          <w:color w:val="auto"/>
        </w:rPr>
        <w:t>In addition, in connection with a crowdfunding campaign launched in December 2019, our three founders Laurin Hahn, Navina Persteiner and Jona Christians announced that they would contribute their profit participation rights associated with their shares in Sono Motors GmbH (while the voting rights associated with the underlying shares would remain with the founders), equaling 64.07% of all profit participation rights at that time, into a “community pool” from which certain monetary benefits in the form of so-called Sono Points would then be awarded. The founders intended such monetary benefits in the form of Sono Points to be allocated among already existing customers and new customers who placed a reservation for a vehicle, depending, with respect to new customers, on the timing of the reservation and the amount of the advance payment of the relevant new customer. The Sono Points would represent participating entitlements concerning dividends, liquidation proceeds and proceeds from the sales of shares attributable to the community pool. However, a legal assessment later revealed substantial legal obstacles in the concept as envisioned by our founders and that it was not feasible from a tax perspective. Our founders, together with their external advisors, have in the meantime developed an alternative structure for the granting of Sono Points to our customers as originally envisioned with respect to the shares in Sono Group N.V. pursuant to which our three founders will each contribute their relevant shares in Sono Group N.V. into limited partnerships controlled by a founder and governed by German law (</w:t>
      </w:r>
      <w:r>
        <w:rPr>
          <w:rFonts w:ascii="Times New Roman" w:cs="Times New Roman" w:eastAsia="Times New Roman" w:hAnsi="Times New Roman"/>
          <w:sz w:val="17"/>
          <w:szCs w:val="17"/>
          <w:i w:val="1"/>
          <w:iCs w:val="1"/>
          <w:color w:val="auto"/>
        </w:rPr>
        <w:t>Kommanditgesellschaften</w:t>
      </w:r>
      <w:r>
        <w:rPr>
          <w:rFonts w:ascii="Times New Roman" w:cs="Times New Roman" w:eastAsia="Times New Roman" w:hAnsi="Times New Roman"/>
          <w:sz w:val="17"/>
          <w:szCs w:val="17"/>
          <w:color w:val="auto"/>
        </w:rPr>
        <w:t>) and will enter into contractual sub-arrangements with the relevant Sono Point beneficiaries regarding their monetary participation entitlements. However, this alternative structure remains subject to further assessment and final approval, including by, among others, German tax authorities. There is no guarantee that this structure will be ultimately feasible or that our founders may be able to offer a feasible structure for the granting of Sono Points at all. In addition, the current alternative structure for the granting of Sono Points focuses on tax issues under German law and may not adequately cover any other relevant issues in connection with the communication during the crowdfunding campaign regarding Sono Points. In particular, our founders may not be able to address issues and financial or any other burdens with respect to Sono Points of any customers who were or are not located in Germany. In addition, not all aspects of the scheme originally envisioned by our founders for granting the Sono Points may be fully and adequately reflected in the alternatively developed structure and/or the alternatively developed structure may incorporate new structural elements or otherwise substantially deviate to the disadvantage of customers from what our founders originally contemplated and publicly communicated. For example, under the alternative structure, Sono Points will be forfeited, if a customer terminates his/her reservation and the relevant Sono Points will fall back to the founders and not lead to a proportionate increase of Sono Points (or participations in the community pool) of the remaining customers. Further, the shares underlying the Sono Points and contributed into the community pool may generally be transferred by the founders under certain conditions, which may negatively affect the actual value of participation entitlements associated with Sono Points. In addition, the alternative structure allows the allocation of additional Sono Points to new customers, which would result in the dilution of the participation entitlements of existing customers. Therefore, not all customers who were previously promised Sono Points may ultimately receive Sono Points at the terms and conditions originally communicated or at all. Disappointed customers who may not receive Sono Points at the terms and conditions originally promised or at all and/or other members of our community may initiate lawsuits against our founders or us and may trigger waves of negative publicity should we not be able to offer, in full or in part, a feasible structure for the granting of Sono Points in all relevant jurisdictions. Further, we cannot preclude that Sono Group N.V. or Sono Motors GmbH will be held liable with respect to any possible significant obligations or claims under the Sono Points scheme.</w:t>
      </w:r>
    </w:p>
    <w:p>
      <w:pPr>
        <w:spacing w:after="0" w:line="200" w:lineRule="exact"/>
        <w:rPr>
          <w:sz w:val="20"/>
          <w:szCs w:val="20"/>
          <w:color w:val="auto"/>
        </w:rPr>
      </w:pPr>
    </w:p>
    <w:p>
      <w:pPr>
        <w:spacing w:after="0" w:line="210" w:lineRule="exact"/>
        <w:rPr>
          <w:sz w:val="20"/>
          <w:szCs w:val="20"/>
          <w:color w:val="auto"/>
        </w:rPr>
      </w:pPr>
    </w:p>
    <w:p>
      <w:pPr>
        <w:ind w:right="6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or will be, as the case may be, subject to anti-corruption, anti-bribery, anti-money laundering, financial and economic sanctions and similar laws and our compliance systems may not be sufficient to adequately prevent or detect legal, financial and operational risks.</w:t>
      </w:r>
    </w:p>
    <w:p>
      <w:pPr>
        <w:spacing w:after="0" w:line="175"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business may or will be subject to various laws and regulations relating to, among other things, prevention of illegal employment, bribery and corruption, and money laundering, as well as compliance with antitrust, data protection (particularly the GDPR), consumer protection, minimum wage regulations, various criminal as well as export control regulations and trade and economic sanctions and embargoes on certain countries, persons, groups and/or entities, projects and/or activities. We are reliant on</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the compliance of our employees and the members of our management board, our contractors, consultants, agents, vendors and (other) collaboration partners with applicable laws and compliance policies implemented by us.</w:t>
      </w:r>
    </w:p>
    <w:p>
      <w:pPr>
        <w:spacing w:after="0" w:line="16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However it cannot be excluded that our employees, the members of the management board, our contractors, consultants, agents, vendors and (other) collaboration partners have committed or will commit criminal, unlawful or unethical acts (including corruption) or that our compliance and risk management and its monitoring capabilities may prove insufficient to prevent or detect any breaches of the law. Any such acts or breaches of law could result in whistle-blower complaints, adverse media coverage, (criminal) investigations, significant civil, administrative, and criminal penalties and damage claims, disgorgement or other sanctions, (collateral) consequences, remedial measures and legal expenses, and cause considerable damage to our reputation, thereby negatively affecting our business, results of operations, financial condition and future business opportunities.</w:t>
      </w:r>
    </w:p>
    <w:p>
      <w:pPr>
        <w:spacing w:after="0" w:line="185"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Dutch and German taxes, in particular, due to the statutory seat of Sono Group N.V. in The Netherlands.</w:t>
      </w:r>
    </w:p>
    <w:p>
      <w:pPr>
        <w:spacing w:after="0" w:line="159" w:lineRule="exact"/>
        <w:rPr>
          <w:sz w:val="20"/>
          <w:szCs w:val="20"/>
          <w:color w:val="auto"/>
        </w:rPr>
      </w:pPr>
    </w:p>
    <w:p>
      <w:pPr>
        <w:jc w:val="both"/>
        <w:ind w:right="120" w:firstLine="318"/>
        <w:spacing w:after="0" w:line="253" w:lineRule="auto"/>
        <w:rPr>
          <w:sz w:val="20"/>
          <w:szCs w:val="20"/>
          <w:color w:val="auto"/>
        </w:rPr>
      </w:pPr>
      <w:r>
        <w:rPr>
          <w:rFonts w:ascii="Times New Roman" w:cs="Times New Roman" w:eastAsia="Times New Roman" w:hAnsi="Times New Roman"/>
          <w:sz w:val="18"/>
          <w:szCs w:val="18"/>
          <w:color w:val="auto"/>
        </w:rPr>
        <w:t xml:space="preserve">There is a risk that the German tax authorities classify Sono Group N.V. as Dutch tax resident. If the German tax authorities conclude that Sono Group N.V. is not, has ceased, or ceases to be (also as a consequence of the change of facts or the law), a German tax resident, it could,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become subject to German exit taxation. This could have serious German tax consequences, including German exit taxes or the increase of German withholding taxes on dividends received by the Company. Such German exit taxes could lead to the taxation of the built-in gains in the assets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intellectual property or goodwill) of Sono Group N.V.</w:t>
      </w:r>
    </w:p>
    <w:p>
      <w:pPr>
        <w:spacing w:after="0" w:line="178"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do pay dividends, we may need to withhold tax on such dividends payable to holders of our shares in both Germany and The Netherlands.</w:t>
      </w:r>
    </w:p>
    <w:p>
      <w:pPr>
        <w:spacing w:after="0" w:line="159"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We currently do not intend to pay any dividends to holders of our ordinary shares. However, if we do pay dividends, we may need to withhold tax on such dividends in both Germany and The Netherlands.</w:t>
      </w:r>
    </w:p>
    <w:p>
      <w:pPr>
        <w:spacing w:after="0" w:line="164"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As an entity incorporated under Dutch law, any dividends distributed by us are subject to Dutch dividend withholding tax based on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are also a tax resident of Germany and our effective management is located in Germany. This withholding tax restriction does, however, not apply, and Dutch dividend withholding tax is still required to be withheld from dividends, if and when paid to Dutch resident holders of our ordinary shares and non-Dutch resident holders of our ordinary shares that have a permanent establishment in The Netherlands to which their shareholding is attributable. As a result, upon a payment of dividends, we will be required to identify our shareholders in order to assess whether there are Dutch residents (or non-Dutch residents with a permanent establishment in The Netherlands to which the ordinary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spacing w:after="0" w:line="19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Furthermore, the withholding tax restriction referred to above is based on the current reservation made by Germany under the Multilateral Convention to Implement Tax Treaty Related Measures to Prevent Base Erosion and Profit Shifting (“MLI”), with respect to the tie-breaker provision included in Article 4(3) of the double tax treaty between Germany and The Netherlands, or the MLI tie-breaker reservation. If Germany changes its MLI tie-breaker reservation, we will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taxable in a jurisdiction other than Germany and this may increase the aggregate tax burden on us.</w:t>
      </w:r>
    </w:p>
    <w:p>
      <w:pPr>
        <w:spacing w:after="0" w:line="222" w:lineRule="exact"/>
        <w:rPr>
          <w:sz w:val="20"/>
          <w:szCs w:val="20"/>
          <w:color w:val="auto"/>
        </w:rPr>
      </w:pPr>
    </w:p>
    <w:p>
      <w:pPr>
        <w:ind w:right="140" w:firstLine="318"/>
        <w:spacing w:after="0" w:line="253" w:lineRule="auto"/>
        <w:rPr>
          <w:sz w:val="20"/>
          <w:szCs w:val="20"/>
          <w:color w:val="auto"/>
        </w:rPr>
      </w:pPr>
      <w:r>
        <w:rPr>
          <w:rFonts w:ascii="Times New Roman" w:cs="Times New Roman" w:eastAsia="Times New Roman" w:hAnsi="Times New Roman"/>
          <w:sz w:val="18"/>
          <w:szCs w:val="18"/>
          <w:color w:val="auto"/>
        </w:rPr>
        <w:t>Since our incorporation we have had, on a continuous basis, our place of “effective management” in Germany. We will therefore qualify as a tax resident of Germany on the basis of German domestic law. As an entity incorporated under Dutch law, however, we also qualify as a tax resident of The Netherlands on the basis of Dutch domestic law. However, based on our current management structure and the current tax laws of the United States, Germany and The Netherlands, as well as applicable income tax treaties, and current interpretations thereof, we should qualify solely as a tax resident of Germany for the purposes of the double tax treaty between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Germany and The Netherlands due to the “effective management” tie-breaker included in Article 4(3) of the double tax treaty between Germany and The Netherlands and the current MLI tie-breaker reservation.</w:t>
      </w:r>
    </w:p>
    <w:p>
      <w:pPr>
        <w:spacing w:after="0" w:line="164" w:lineRule="exact"/>
        <w:rPr>
          <w:sz w:val="20"/>
          <w:szCs w:val="20"/>
          <w:color w:val="auto"/>
        </w:rPr>
      </w:pPr>
    </w:p>
    <w:p>
      <w:pPr>
        <w:ind w:right="140" w:firstLine="318"/>
        <w:spacing w:after="0" w:line="266" w:lineRule="auto"/>
        <w:rPr>
          <w:sz w:val="20"/>
          <w:szCs w:val="20"/>
          <w:color w:val="auto"/>
        </w:rPr>
      </w:pPr>
      <w:r>
        <w:rPr>
          <w:rFonts w:ascii="Times New Roman" w:cs="Times New Roman" w:eastAsia="Times New Roman" w:hAnsi="Times New Roman"/>
          <w:sz w:val="17"/>
          <w:szCs w:val="17"/>
          <w:color w:val="auto"/>
        </w:rPr>
        <w:t>The test of “effective management” is largely a question of fact and degree based on all the circumstances, rather than a question of law. Nevertheless, the relevant case law and OECD guidance suggest that our Company is likely to be regarded as having become a German tax resident from incorporation and remaining so if, as our Company intends, (i) most meetings of its management board are prepared and held in Germany (and none will be held in The Netherlands) with a majority of management board members present in Germany for those meetings; (ii) at those meetings there are full discussions of, and decisions are made regarding, the key strategic issues affecting our Company and its subsidiaries; (iii) those meetings are properly minuted; (iv) a majority of our management board members, together with supporting staff, are based in Germany; and (v) our Company has permanent staffed office premises in Germany. We may, however, become subject to limited income tax liability in other countries with regard to the income generated in the respective other country, for example, due to the existence of a permanent establishment or a permanent representative in such other country.</w:t>
      </w:r>
    </w:p>
    <w:p>
      <w:pPr>
        <w:spacing w:after="0" w:line="17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The applicable tax laws or interpretations thereof may change, including the MLI tie-breaker reservation. Furthermore, whether we have our place of effective management in Germany and are as such tax resident in Germany is largely a question of fact and degree based on all the circumstances, rather than a question of law, which facts and degree may also change. Changes to applicable laws or interpretations thereof, changes to applicable facts and circumstances (for example, a change of directors or the place where board meetings take place), or changes to applicable income tax treaties, including a change to the MLI tie-breaker reservation, may result in us becoming (also) a tax resident of The Netherlands or another jurisdiction. See “— </w:t>
      </w:r>
      <w:r>
        <w:rPr>
          <w:rFonts w:ascii="Times New Roman" w:cs="Times New Roman" w:eastAsia="Times New Roman" w:hAnsi="Times New Roman"/>
          <w:sz w:val="18"/>
          <w:szCs w:val="18"/>
          <w:i w:val="1"/>
          <w:iCs w:val="1"/>
          <w:color w:val="auto"/>
        </w:rPr>
        <w:t>If we do pay dividends, we may need to withhold tax on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 payable to holders of our shares in both Germany and The Netherlands</w:t>
      </w:r>
      <w:r>
        <w:rPr>
          <w:rFonts w:ascii="Times New Roman" w:cs="Times New Roman" w:eastAsia="Times New Roman" w:hAnsi="Times New Roman"/>
          <w:sz w:val="18"/>
          <w:szCs w:val="18"/>
          <w:color w:val="auto"/>
        </w:rPr>
        <w:t>.” As a consequence, our overall effective income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income tax expense could materially increase, which could have a material adverse effect on our business, results of operations, financial condition and prospects, which could cause our share price and trading volume to decline. In addition, as a consequence, dividends distributed by us, if any, may become subject to dividend withholding tax in more than one jurisdiction, although double taxation of income and the double withholding tax on dividends may be reduced or avoided entirely under the double tax treaty between Germany and The Netherlands or under a double tax treaty between The Netherlands and the respective other country.</w:t>
      </w:r>
    </w:p>
    <w:p>
      <w:pPr>
        <w:spacing w:after="0" w:line="189"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become a passive foreign investment company (“PFIC”), which could result in adverse United States federal income tax consequences to United States investors.</w:t>
      </w:r>
    </w:p>
    <w:p>
      <w:pPr>
        <w:spacing w:after="0" w:line="159"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Based on the projected composition of our income and valuation of our assets, including goodwill, we believe that we were not a PFIC in our prior taxable year and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w:t>
      </w:r>
    </w:p>
    <w:p>
      <w:pPr>
        <w:spacing w:after="0" w:line="2" w:lineRule="exact"/>
        <w:rPr>
          <w:sz w:val="20"/>
          <w:szCs w:val="20"/>
          <w:color w:val="auto"/>
        </w:rPr>
      </w:pPr>
    </w:p>
    <w:p>
      <w:pPr>
        <w:ind w:right="740" w:firstLine="7"/>
        <w:spacing w:after="0" w:line="252"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in a taxable year is passive income, or (2) the average percentage of our assets by value in a taxable year which produce or are held for the production of passive income (which includes cash) is at least 50%.</w:t>
      </w:r>
    </w:p>
    <w:p>
      <w:pPr>
        <w:spacing w:after="0" w:line="183"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our shares. Accordingly, we could become a PFIC in the future if there is a substantial decline in the value of our shares.</w:t>
      </w:r>
    </w:p>
    <w:p>
      <w:pPr>
        <w:spacing w:after="0" w:line="182"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If we are or were to become a PFIC, such characterization could result in adverse United States federal income tax consequences and burdensome reporting requirements to a holder of ordinary shares if such holder is a United States investor.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1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the Selling Shareholder under the Purchase Agreement, or the actual gross proceeds that will result from those sales.</w:t>
      </w:r>
    </w:p>
    <w:p>
      <w:pPr>
        <w:spacing w:after="0" w:line="159" w:lineRule="exact"/>
        <w:rPr>
          <w:sz w:val="20"/>
          <w:szCs w:val="20"/>
          <w:color w:val="auto"/>
        </w:rPr>
      </w:pPr>
    </w:p>
    <w:p>
      <w:pPr>
        <w:ind w:right="120" w:firstLine="356"/>
        <w:spacing w:after="0" w:line="255" w:lineRule="auto"/>
        <w:rPr>
          <w:sz w:val="20"/>
          <w:szCs w:val="20"/>
          <w:color w:val="auto"/>
        </w:rPr>
      </w:pPr>
      <w:r>
        <w:rPr>
          <w:rFonts w:ascii="Times New Roman" w:cs="Times New Roman" w:eastAsia="Times New Roman" w:hAnsi="Times New Roman"/>
          <w:sz w:val="18"/>
          <w:szCs w:val="18"/>
          <w:color w:val="auto"/>
        </w:rPr>
        <w:t>On June 13, 2022, we entered into the Purchase Agreement with the Selling Shareholder, pursuant to which the Selling Shareholder has committed to purchase up to $150,000,000 of our ordinary shares, subject to certain limitations and the satisfaction of the conditions set forth in the Purchase Agreement. From and after the Commencement Date, as such term is defined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Committed Equity Financing</w:t>
      </w:r>
      <w:r>
        <w:rPr>
          <w:rFonts w:ascii="Times New Roman" w:cs="Times New Roman" w:eastAsia="Times New Roman" w:hAnsi="Times New Roman"/>
          <w:sz w:val="18"/>
          <w:szCs w:val="18"/>
          <w:color w:val="auto"/>
        </w:rPr>
        <w:t>” below, we will have the right, but not the obligation, to sell ordinary shares to</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 Selling Shareholder pursuant to the Purchase Agreement from time to time over a period of up to 24 months beginning on the Commencement Date.</w:t>
      </w:r>
    </w:p>
    <w:p>
      <w:pPr>
        <w:spacing w:after="0" w:line="164" w:lineRule="exact"/>
        <w:rPr>
          <w:sz w:val="20"/>
          <w:szCs w:val="20"/>
          <w:color w:val="auto"/>
        </w:rPr>
      </w:pPr>
    </w:p>
    <w:p>
      <w:pPr>
        <w:ind w:firstLine="356"/>
        <w:spacing w:after="0" w:line="251"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ordinary shares to the Selling Shareholder under the Purchase Agreement. Sales of our ordinary shares, if any, to the Selling Shareholder under the Purchase Agreement will depend upon market conditions and other factors to be determined by us. We may ultimately decide to sell to the Selling Shareholder all, some or none of our ordinary shares that may be available for us to sell to the Selling Shareholder pursuant to the Purchase Agreement. Depending on market liquidity at the time, resales of those shares by the Selling Shareholder may cause the public trading price of our ordinary shares to decrease.</w:t>
      </w:r>
    </w:p>
    <w:p>
      <w:pPr>
        <w:spacing w:after="0" w:line="187" w:lineRule="exact"/>
        <w:rPr>
          <w:sz w:val="20"/>
          <w:szCs w:val="20"/>
          <w:color w:val="auto"/>
        </w:rPr>
      </w:pPr>
    </w:p>
    <w:p>
      <w:pPr>
        <w:ind w:right="20" w:firstLine="356"/>
        <w:spacing w:after="0" w:line="250" w:lineRule="auto"/>
        <w:rPr>
          <w:sz w:val="20"/>
          <w:szCs w:val="20"/>
          <w:color w:val="auto"/>
        </w:rPr>
      </w:pPr>
      <w:r>
        <w:rPr>
          <w:rFonts w:ascii="Times New Roman" w:cs="Times New Roman" w:eastAsia="Times New Roman" w:hAnsi="Times New Roman"/>
          <w:sz w:val="18"/>
          <w:szCs w:val="18"/>
          <w:color w:val="auto"/>
        </w:rPr>
        <w:t>Because the purchase price per share to be paid by the Selling Shareholder for the ordinary shares that we may elect to sell to the Selling Shareholder under the Purchase Agreement, if any, will fluctuate based on the market prices of our ordinary shares at the time we elect to sell shares to the Selling Shareholder pursuant to the Purchase Agreement, if any, it is not possible for us to predict, as of the date of this prospectus and prior to any such sales, the number of ordinary shares that we will sell to the Selling Shareholder under the Purchase Agreement, the purchase price per ordinary share that the Selling Shareholder will pay for ordinary shares purchased from us under the Purchase Agreement, or the aggregate gross proceeds that we will receive from those purchases by the Selling Shareholder under the Purchase Agreement.</w:t>
      </w:r>
    </w:p>
    <w:p>
      <w:pPr>
        <w:spacing w:after="0" w:line="189" w:lineRule="exact"/>
        <w:rPr>
          <w:sz w:val="20"/>
          <w:szCs w:val="20"/>
          <w:color w:val="auto"/>
        </w:rPr>
      </w:pPr>
    </w:p>
    <w:p>
      <w:pPr>
        <w:ind w:right="40" w:firstLine="356"/>
        <w:spacing w:after="0" w:line="249" w:lineRule="auto"/>
        <w:rPr>
          <w:sz w:val="20"/>
          <w:szCs w:val="20"/>
          <w:color w:val="auto"/>
        </w:rPr>
      </w:pPr>
      <w:r>
        <w:rPr>
          <w:rFonts w:ascii="Times New Roman" w:cs="Times New Roman" w:eastAsia="Times New Roman" w:hAnsi="Times New Roman"/>
          <w:sz w:val="18"/>
          <w:szCs w:val="18"/>
          <w:color w:val="auto"/>
        </w:rPr>
        <w:t>We are registering 14,138,867 ordinary shares under this prospectus. If it becomes necessary for us to issue and sell to the Selling Shareholder under the Purchase Agreement more than the 14,138,867 shares of ordinary shares being registered for resale under this prospectus in order to receive aggregate gross proceeds equal to $150,000,000 under the Purchase Agreement, we must file with the SEC one or more additional registration statements to register under the Securities Act the resale by the Selling Shareholder of any such additional ordinary shares we wish to sell from time to time under the Purchase Agreement, which the SEC must declare effective, in each case before we may elect to sell any additional ordinary shares to the Selling Shareholder under the Purchase Agreement. The Selling Shareholder will not be required to purchase any ordinary shares if such sale would result in the Selling Shareholder’s beneficial ownership exceeding the Beneficial Ownership Limitation, which is defined in the Purchase Agreement as 4.99% of the outstanding ordinary shares. Our inability to access a portion or the full amount available under the Purchase Agreement, in the absence of any other financing sources, could have a material adverse effect on our business or results of operation.</w:t>
      </w:r>
    </w:p>
    <w:p>
      <w:pPr>
        <w:spacing w:after="0" w:line="183" w:lineRule="exact"/>
        <w:rPr>
          <w:sz w:val="20"/>
          <w:szCs w:val="20"/>
          <w:color w:val="auto"/>
        </w:rPr>
      </w:pPr>
    </w:p>
    <w:p>
      <w:pPr>
        <w:ind w:right="6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 and may experience different levels of return on their investments.</w:t>
      </w:r>
    </w:p>
    <w:p>
      <w:pPr>
        <w:spacing w:after="0" w:line="159" w:lineRule="exact"/>
        <w:rPr>
          <w:sz w:val="20"/>
          <w:szCs w:val="20"/>
          <w:color w:val="auto"/>
        </w:rPr>
      </w:pPr>
    </w:p>
    <w:p>
      <w:pPr>
        <w:ind w:right="40" w:firstLine="356"/>
        <w:spacing w:after="0" w:line="248" w:lineRule="auto"/>
        <w:rPr>
          <w:sz w:val="20"/>
          <w:szCs w:val="20"/>
          <w:color w:val="auto"/>
        </w:rPr>
      </w:pPr>
      <w:r>
        <w:rPr>
          <w:rFonts w:ascii="Times New Roman" w:cs="Times New Roman" w:eastAsia="Times New Roman" w:hAnsi="Times New Roman"/>
          <w:sz w:val="18"/>
          <w:szCs w:val="18"/>
          <w:color w:val="auto"/>
        </w:rPr>
        <w:t>Pursuant to the Purchase Agreement, we will have discretion, subject to market demand, to vary the timing, prices, and numbers of shares sold to the Selling Shareholder. If and when we do elect to sell ordinary shares to the Selling Shareholder pursuant to the Purchase Agreement, after the Selling Shareholder has acquired such shares, the Selling Shareholder may resell all, some or none of such ordinary shares at any time or from time to time in its discretion and at different prices. As a result, investors who purchase ordinary shares from the Selling Shareholder at different times will likely pay different prices for those shares, and so may experience different outcomes in their investment results. Investors may experience a decline in the value of the shares they purchase from the Selling Shareholder in this offering as a result of future sales made by us to the Selling Shareholder at prices lower than the prices such investors paid to the Selling Shareholder for their shares in this offering. In addition, if we sell a substantial number of shares to the Selling Shareholder under the Purchase Agreement, or if investors expect that we will do so, the actual sales of shares or the mere existence of our arrangement with the Selling Shareholder may make it more difficult for us to sell equity or equity-related securities in the future at a time and at a price that we might otherwise wish to effect such sales or at all.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received by us from sales under the Purchase Agreement and may invest or spend the proceeds in ways with which you do not agree and in ways that may not yield a return on your investment.</w:t>
      </w:r>
    </w:p>
    <w:p>
      <w:pPr>
        <w:spacing w:after="0" w:line="15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will not receive any proceeds from the sale of ordinary shares being offered by the Selling Shareholder pursuant to this prospectus. However, we may receive up to $150,000,000 in aggregate gross proceeds from sales of our ordinary shares to the Selling Shareholder pursuant to the Purchase Agreement that we may, in our discretion, elect to make, from and after the Commencement Date from time to time over a period of up to 24 months beginning on the Commencement Date. The net proceeds we receive from sales of ordinary shares, if any, under the Purchase Agreement, will depend on the frequency and prices at which we sell ordinary shares to the Selling Shareholder after the Commencement Date. To the extent we sell ordinary shares to the Selling Shareholder, we currently intend to use the net proceeds in the manner described in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However, our management has broad discretion in the application of the net proceeds and could spend the proceeds in ways that do not improve our results of operations or enhance the value of our ordinary shares. You will not have the opportunity to influence our decisions on how to use our net proceeds from sales under the Purchase Agreement to the Selling Shareholder. The failure by our management to apply these funds effectively could result in financial losses that could harm our business, cause the price of our ordinary shares to decline and delay the development of our product candidates. Pending their use, we may invest the net proceeds from sales under the Purchase Agreement to the Selling Shareholder in a manner that does not produce income or that loses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1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ordinary shares in the public market, or the perception that these sales may occur, could cause the market price of our ordinary shares to decline.</w:t>
      </w:r>
    </w:p>
    <w:p>
      <w:pPr>
        <w:spacing w:after="0" w:line="159"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Under our articles of association, we are authorized to issue up to 320,000,000 ordinary shares. Upon an increase of our issued share capital to at least €25,000,000, our authorized share capital will automatically increase to €102,000,000, divided into 1,500,000,000 ordinary shares and 8,000,000 high voting shares, of which 84,868,774 ordinary shares and 3,000,000 high voting shares were outstanding as of October 6, 2022. An issuance of new ordinary shares may also lead to substantial dilution of our then existing shareholders. We cannot predict the size of future issuances of our shares or the effect, if any, that future issuances and sales of shares would have on the market price of our ordinary shares.</w:t>
      </w:r>
    </w:p>
    <w:p>
      <w:pPr>
        <w:spacing w:after="0" w:line="181"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fluctuate significantly, which could result in substantial losses for purchasers of our ordinary shares.</w:t>
      </w:r>
    </w:p>
    <w:p>
      <w:pPr>
        <w:spacing w:after="0" w:line="15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market for smaller technology companies in particular have experienced extreme volatility that has often been unrelated to the operating performance of particular companies. As a result of this volatility, you may lose some or all of your investment. The market price of our ordinary shares is affected by the supply and demand for our ordinary shares, which may be influenced by numerous factors, many of which are beyond our control, including:</w:t>
      </w:r>
    </w:p>
    <w:p>
      <w:pPr>
        <w:spacing w:after="0" w:line="182" w:lineRule="exact"/>
        <w:rPr>
          <w:sz w:val="20"/>
          <w:szCs w:val="20"/>
          <w:color w:val="auto"/>
        </w:rPr>
      </w:pPr>
    </w:p>
    <w:p>
      <w:pPr>
        <w:ind w:left="680" w:right="600" w:hanging="328"/>
        <w:spacing w:after="0" w:line="274" w:lineRule="auto"/>
        <w:tabs>
          <w:tab w:leader="none" w:pos="6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 in actual or projected results of operations; changes in projected earnings or failure to meet securities analysts’ earnings expectations; the absence of analyst coverage;</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analyst recommendations;</w:t>
      </w:r>
    </w:p>
    <w:p>
      <w:pPr>
        <w:spacing w:after="0" w:line="217" w:lineRule="exact"/>
        <w:rPr>
          <w:rFonts w:ascii="Times New Roman" w:cs="Times New Roman" w:eastAsia="Times New Roman" w:hAnsi="Times New Roman"/>
          <w:sz w:val="18"/>
          <w:szCs w:val="18"/>
          <w:color w:val="231F20"/>
        </w:rPr>
      </w:pPr>
    </w:p>
    <w:p>
      <w:pPr>
        <w:ind w:left="680" w:right="440" w:hanging="328"/>
        <w:spacing w:after="0" w:line="274" w:lineRule="auto"/>
        <w:tabs>
          <w:tab w:leader="none" w:pos="6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trading volumes in our ordinary shares (including by the sale of shares granted to our employees under employee participation programs);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large-volume or targeted transactions by short-sellers;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shareholder structure;</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macroeconomic conditions;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activities of competitors and sellers;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valuations of comparable companies;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finalize development of, market and commercialize the Sion as well as future car models;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management or scientific personnel or other key employees;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lawsuits, including patent, shareholder or customer litigation;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investor and analyst perception with respect to our business or the car industry in general; and</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statutory framework applicable to our business.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 result, our share price may be subject to substantial fluctuation.</w:t>
      </w:r>
    </w:p>
    <w:p>
      <w:pPr>
        <w:spacing w:after="0" w:line="218" w:lineRule="exact"/>
        <w:rPr>
          <w:sz w:val="20"/>
          <w:szCs w:val="20"/>
          <w:color w:val="auto"/>
        </w:rPr>
      </w:pPr>
    </w:p>
    <w:p>
      <w:pPr>
        <w:ind w:right="20" w:firstLine="318"/>
        <w:spacing w:after="0" w:line="275" w:lineRule="auto"/>
        <w:rPr>
          <w:sz w:val="20"/>
          <w:szCs w:val="20"/>
          <w:color w:val="auto"/>
        </w:rPr>
      </w:pPr>
      <w:r>
        <w:rPr>
          <w:rFonts w:ascii="Times New Roman" w:cs="Times New Roman" w:eastAsia="Times New Roman" w:hAnsi="Times New Roman"/>
          <w:sz w:val="17"/>
          <w:szCs w:val="17"/>
          <w:color w:val="auto"/>
        </w:rPr>
        <w:t>In addition, general market conditions and fluctuation of share prices and trading volumes could lead to pressure on the market price of our ordinary shares, even if there may not be a reason for this based on our business performance or earnings outlook. Prices for companies with a limited operating history, particularly in industries with barriers such as the car industry, may be more volatile compared to share prices for established companies or companies from other industries. The price of our shares has been volatile since our IPO.</w:t>
      </w:r>
    </w:p>
    <w:p>
      <w:pPr>
        <w:spacing w:after="0" w:line="165"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If the market price of our ordinary shares declines as a result of the realization of any of these risks, investors could lose part or all of their investment in our ordinary shares.</w:t>
      </w:r>
    </w:p>
    <w:p>
      <w:pPr>
        <w:spacing w:after="0" w:line="16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78"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as a holder of ordinary shares to influence corporate matters and could discourage others from pursuing any change of control transactions that holders of ordinary shares may view as beneficial.</w:t>
      </w:r>
    </w:p>
    <w:p>
      <w:pPr>
        <w:spacing w:after="0" w:line="175" w:lineRule="exact"/>
        <w:rPr>
          <w:sz w:val="20"/>
          <w:szCs w:val="20"/>
          <w:color w:val="auto"/>
        </w:rPr>
      </w:pPr>
    </w:p>
    <w:p>
      <w:pPr>
        <w:ind w:right="40" w:firstLine="318"/>
        <w:spacing w:after="0" w:line="275" w:lineRule="auto"/>
        <w:rPr>
          <w:sz w:val="20"/>
          <w:szCs w:val="20"/>
          <w:color w:val="auto"/>
        </w:rPr>
      </w:pPr>
      <w:r>
        <w:rPr>
          <w:rFonts w:ascii="Times New Roman" w:cs="Times New Roman" w:eastAsia="Times New Roman" w:hAnsi="Times New Roman"/>
          <w:sz w:val="17"/>
          <w:szCs w:val="17"/>
          <w:color w:val="auto"/>
        </w:rPr>
        <w:t>We have a dual-class share structure, which we intend to maintain for the foreseeable future, as our share capital consists of ordinary shares and high voting shares. In respect of matters requiring the votes of shareholders, holders of ordinary shares will be entitled to one vote per share, while holders of high voting shares will be entitled to 25 votes per share. Each high voting share is convertible into one ordinary share at any time by the holder thereof, while ordinary shares are not convertible into high voting shares under any circumstances.</w:t>
      </w:r>
    </w:p>
    <w:p>
      <w:pPr>
        <w:spacing w:after="0" w:line="165"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7"/>
          <w:szCs w:val="17"/>
          <w:color w:val="auto"/>
        </w:rPr>
        <w:t>The high voting shares are held by Laurin Hahn and Jona Christians, two of our founders and management board members. As of September 30, 2022, Laurin Hahn held approximately 37.07% and Jona Christians held approximately 33.37% of our total voting rights. This concentration of ownership may discourage, delay or prevent a change in control of our Company, which could deprive our other shareholders of an opportunity to receive a premium for their ordinary shares as part of a sale of our Company and might ultimately affect the market price of our ordinary shares. This concentrated control will limit your ability to influence corporate matters that holders of ordinary shares may view as beneficial. In addition, certain index providers, such as S&amp;P Dow Jones or FTSE Russell, view multi-class shares critically and have amended their rules so that companies with multi-class shares will no longer be added to their indexes.</w:t>
      </w:r>
    </w:p>
    <w:p>
      <w:pPr>
        <w:spacing w:after="0" w:line="17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Laurin Hahn and Jona Christians have indicated to us that they are looking for instruments to prevent erosion of their voting power in light of expected dilution due to the expected issuance of a substantial number of new shares to cover our funding needs. These instruments to prevent dilution may include the issuance of additional high voting shares, changes in the voting power of the existing high voting shares or the introduction of veto rights for Laurin Hahn and/or Jona Christians. Under Dutch law, Laurin Hahn and Jona Christians will not be prevented from voting on the introduction of instruments that favor them. A proposal to the shareholders meeting to introduce these instruments and/or their actual introduction may negatively affect our reputation and our share price and may make it more difficult for us to raise additional capital to cover our funding needs.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increased costs as a result of operating as a public company, and our management has and will continue to be required to devote substantial time to new compliance initiatives and corporate governance practices.</w:t>
      </w:r>
    </w:p>
    <w:p>
      <w:pPr>
        <w:spacing w:after="0" w:line="159"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that we did not incur as a private company, including, but not limited to, costs and expenses for management board members’ and supervisory board members’ fees, increased directors and officers insurance, investor relations, and various other costs of a public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have and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90"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Although we are currently subject to Sections 302 and 906 of the Sarbanes-Oxley Act, we are not currently required to comply with Section 404(a) or (b) of the Sarbanes-Oxley Act and, therefore, have not yet been required to make a formal assessment of the effectiveness of our internal control over financial reporting. Beginning with our annual report on Form 20-F for the year ending December 31, 2022, we will be required to comply with Section 404(a) of the Sarbanes-Oxley Act, which will require management to assess the effectiveness of internal control over financial reporting.</w:t>
      </w:r>
    </w:p>
    <w:p>
      <w:pPr>
        <w:spacing w:after="0" w:line="18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To achieve compliance with Section 404(a) of the Sarbanes-Oxley Act within the prescribed period, we will be engaged in documenting and evaluating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of the Sarbanes-Oxley Act.</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Additionally, while we remain an emerging growth company, we will not be required to include an attestation report on internal control over financial reporting issued by our independent registered public accounting firm pursuant to Section 404(b) of the Sarbanes-Oxley Act. An independent assessment of the effectiveness of our internal controls over financial reporting could identify material weaknesses that our management’s assessment did not identify.</w:t>
      </w:r>
    </w:p>
    <w:p>
      <w:pPr>
        <w:spacing w:after="0" w:line="182"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The consequences of being a public company could have a material adverse effect on our business, financial condition, results of operations and prospects.</w:t>
      </w:r>
    </w:p>
    <w:p>
      <w:pPr>
        <w:spacing w:after="0" w:line="1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175"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Prior to our IPO on November 17, 2021, we operated as a private company that was not required to comply with the obligations of a public company with respect to internal controls over financial reporting.</w:t>
      </w:r>
    </w:p>
    <w:p>
      <w:pPr>
        <w:spacing w:after="0" w:line="164"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In connection with the audits of our consolidated financial statements for the years ended December 31, 2019 and 2020, we identified multiple material weaknesses in our internal control over financial reporting. 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The material weaknesses that were identified relate to (i) a lack of consistent and proper application of accounting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 These material weaknesses were unremediated as of December 31, 2021. While we are working to remediate the weaknesses as quickly and efficiently as possible, we cannot at this time provide an estimate of the timeframe we expect in connection with implementing our plan to remediate these material weaknesses.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These remediation measures may be time-consuming and costly, and might place significant demands on our financial and operational resources.</w:t>
      </w:r>
    </w:p>
    <w:p>
      <w:pPr>
        <w:spacing w:after="0" w:line="164"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In addition, neither our management nor any outside advisor has performed an evaluation of our internal control over financial reporting in accordance with the provision of the Sarbanes-Oxley Act because no such evaluation has been required. Had we or an outside advisor performed an evaluation of our internal control over financial reporting in accordance with the provisions of the Sarbanes-Oxley Act, additional material weaknesses may have been identified. We will be required to include a report from management on the effectiveness of our internal control over financial reporting in our annual report on Form 20-F for the fiscal year ending December 31, 2022. If we fail to remediate the material weaknesses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85"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We are working with our Dutch auditors on finalizing our Dutch statutory financial statements for 2021 and 2020 and the audit thereof, such that we can propose those financial statements to our general meeting for adoption as required by Dutch law. During this financial year, the annual shareholders meeting is required to be held by October 31, 2022. The audit of our Dutch statutory financial statements will most likely not be completed in a timely manner. Accordingly, we currently expect that our annual shareholders meeting will be held after October 31, 2022.</w:t>
      </w:r>
    </w:p>
    <w:p>
      <w:pPr>
        <w:spacing w:after="0" w:line="182"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We are non-compliant with the Dutch financial reporting requirements with regard to the timely filing of our audited 2020 Dutch statutory financial statements with the Dutch trade register and we may not be able to file our audited 2021 Dutch statutory financial statements with the Dutch trade register in a timely manner. Dutch financial reporting rules require the timely filing of our audited Dutch statutory financial statements with the Dutch trade register. Non-compliance with these filing requirements exposes us to penalties and fines, including monetary fines of €22.5 thousand. Non-compliance with the requirements under Dutch law with respect to the preparation, audit and publication of our Dutch statutory financial statements may also could also lead to increased exposure for our management board and supervisory board members to director liability under the standards of Dutch corporate law, which may negatively affect our reputation.</w:t>
      </w:r>
    </w:p>
    <w:p>
      <w:pPr>
        <w:spacing w:after="0" w:line="176"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Our failure to correct the existing material weaknesses or our failure to discover and address any other control deficiencies could result in inaccuracies in our consolidated financial statements and could also impair our ability to comply with applicable financial reporting requirements and make related regulatory filings on a timely basis. As a result, our business, financial condition, results of operations and prospects, as well as the trading price and listing of our shares, may be materially and adversely affected. We cannot assure you that all of our existing material weaknesses have been identified, or that we will not in the future identify additional material weaknesses.</w:t>
      </w:r>
    </w:p>
    <w:p>
      <w:pPr>
        <w:spacing w:after="0" w:line="166"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could adversely affect the market price of our ordinary shares, and future issuances of equity securities could lead to a substantial dilution of our shareholders.</w:t>
      </w:r>
    </w:p>
    <w:p>
      <w:pPr>
        <w:spacing w:after="0" w:line="15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will require additional capital in the future to finance our business operations and growth. For example, we will require additional funding to reach commercial operation, and we may seek to offer new equity in the future for such funding. The Company may seek to raise such capital through the issuance of additional equity or debt securities with conversion rights (e.g., convertible bonds and option rights).An issuance of additional equity or debt securities with conversion rights could potentially reduce the market price of our ordinary shares and the Company currently cannot predict the amounts and terms of such future offerings. We currently expect that we will require at least €242 million of funding to reach start of production, expected to be in the second half of 2023. The proceeds from sales under the Purchase Agreement to the Selling Shareholder will not be sufficient to meet this required funding and therefore we will need to raise additional funding. We expect such funding to be in the form of, or at least include, additional equity fundraising, which will dilute existing shareholders.</w:t>
      </w:r>
    </w:p>
    <w:p>
      <w:pPr>
        <w:spacing w:after="0" w:line="190"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If such offerings of equity or debt securities with conversion rights are made without granting preemptive rights to our existing shareholders, these offerings would dilute the economic and voting rights of our existing shareholders. Preemptive rights may be restricted or excluded by a resolution of the general meeting or by another corporate body designated by the general meeting. Our management board has been authorized until the fifth anniversary of the pricing of our IPO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7"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In addition, such dilution may arise from the acquisition or investments in companies in exchange, fully or in part, for newly issued ordinary shares, convertible rights in connection with financing arrangements the Company entered into before the IPO, stock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options or conversion rights granted to our business partners or our customers as well as from the exercise of stock options or conversion rights granted to our employees in the context of existing or future stock option programs or the issuance of ordinary shares to employees in the context of existing or future employee participation programs.</w:t>
      </w:r>
    </w:p>
    <w:p>
      <w:pPr>
        <w:spacing w:after="0" w:line="176"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Any future issuance of ordinary shares could reduce the market price of our ordinary shares and dilute the holdings of existing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by major shareholders could materially adversely affect the market price of our ordinary shares.</w:t>
      </w:r>
    </w:p>
    <w:p>
      <w:pPr>
        <w:spacing w:after="0" w:line="222"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For various reasons, shareholders may sell all or some of our ordinary shares, including in order to diversify their investments. Sales of a substantial number of our ordinary shares in the public market, or the perception that such sales might occur, could depress the market price of our ordinary shares and could impair our ability to raise capital through the sale of additional equity securities.</w:t>
      </w:r>
    </w:p>
    <w:p>
      <w:pPr>
        <w:spacing w:after="0" w:line="17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ordinary shares and trading volume could decline.</w:t>
      </w:r>
    </w:p>
    <w:p>
      <w:pPr>
        <w:spacing w:after="0" w:line="159" w:lineRule="exact"/>
        <w:rPr>
          <w:sz w:val="20"/>
          <w:szCs w:val="20"/>
          <w:color w:val="auto"/>
        </w:rPr>
      </w:pPr>
    </w:p>
    <w:p>
      <w:pPr>
        <w:ind w:right="160" w:firstLine="318"/>
        <w:spacing w:after="0" w:line="253" w:lineRule="auto"/>
        <w:rPr>
          <w:sz w:val="20"/>
          <w:szCs w:val="20"/>
          <w:color w:val="auto"/>
        </w:rPr>
      </w:pPr>
      <w:r>
        <w:rPr>
          <w:rFonts w:ascii="Times New Roman" w:cs="Times New Roman" w:eastAsia="Times New Roman" w:hAnsi="Times New Roman"/>
          <w:sz w:val="18"/>
          <w:szCs w:val="18"/>
          <w:color w:val="auto"/>
        </w:rPr>
        <w:t>The trading market for our ordinary shares will depend in part on the research and reports that securities or industry analysts publish about us or our business. If securities or industry analyst coverage results in downgrades of our ordinary shares or publishes inaccurate or unfavorable research about our business, our share price would likely decline. If one or more of these analysts cease coverage of us or fail to publish reports on us regularly, we could lose visibility in the financial markets and demand for our ordinary shares could decrease, which, in turn, could cause the market price or trading volume for our ordinary shares to decline significantly.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have difficulty enforcing civil liabilities against us or the members of our management and supervisory board.</w:t>
      </w:r>
    </w:p>
    <w:p>
      <w:pPr>
        <w:spacing w:after="0" w:line="222"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We are organized and existing under the laws of The Netherlands, and, as such, under Dutch private international law rules the rights of our shareholders and the civil liability of our management board members, supervisory board members and executive officers are governed in certain respects by the laws of The Netherlands. The ability of our shareholders in certain countries other than The Netherlands to bring an action against us, our management board members, supervisory board members and executive officers may be limited under applicable law. In addition, substantially all of our assets are located outside the United States.</w:t>
      </w:r>
    </w:p>
    <w:p>
      <w:pPr>
        <w:spacing w:after="0" w:line="18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As a result, it may not be possible for shareholders to effect service of process within the United States upon us or our management board members, supervisory board members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management board members, supervisory board members and executive officers in an original action based solely upon the federal securities laws of the United States brought in a court of competent jurisdiction in The Netherlands.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date of this prospectus, the United States and The Netherlands do not have a treaty providing for the reciprocal recognition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enforcement of judgments, other than arbitration awards, in civil and commercial matters. With respect to choice of court agreements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civil or commercial matters, it is noted that the Hague Convention on Choice of Court Agreements entered into force for The Netherlands,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has not entered into force for the United States. Accordingly, a judgment rendered by a court in the United States, whether or not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predicated solely upon U.S. securities laws, would not automatically be recognized and enforced by the competent Dutch courts. However,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 person has obtained a judgment rendered by a court in the United States that is enforceable under the laws of the United States and files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claim with the competent Dutch court, the Dutch court will in principle give binding effect to a foreign judgment if (i) the jurisdiction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foreign court was based on a ground of jurisdiction that is generally acceptable according to international standards, (ii) the judgment 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foreign court was rendered in legal proceedings that comply with the Dutch standards of proper administration of justice including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sufficient safeguards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binding effect of such foreign judgment is not contrary to Dutch public order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and (iv) the judgment by the foreign court is not incompatible with a decision rendered between the same parties by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Dutch court, or with a previous decision rendered between the same parties by a foreign court in a dispute that concerns the same subject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based on the same cause, provided that the previous decision qualifies for recognition in The Netherlands. Even if such a foreign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judgment is given binding effect, a claim based thereon may, however, still be rejected if the foreign judgment is not or no longer formally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w:t>
      </w:r>
    </w:p>
    <w:p>
      <w:pPr>
        <w:spacing w:after="0" w:line="198" w:lineRule="exact"/>
        <w:rPr>
          <w:sz w:val="20"/>
          <w:szCs w:val="20"/>
          <w:color w:val="auto"/>
        </w:rPr>
      </w:pPr>
    </w:p>
    <w:p>
      <w:pPr>
        <w:ind w:right="580" w:firstLine="318"/>
        <w:spacing w:after="0" w:line="304" w:lineRule="auto"/>
        <w:rPr>
          <w:sz w:val="20"/>
          <w:szCs w:val="20"/>
          <w:color w:val="auto"/>
        </w:rPr>
      </w:pPr>
      <w:r>
        <w:rPr>
          <w:rFonts w:ascii="Times New Roman" w:cs="Times New Roman" w:eastAsia="Times New Roman" w:hAnsi="Times New Roman"/>
          <w:sz w:val="17"/>
          <w:szCs w:val="17"/>
          <w:color w:val="auto"/>
        </w:rPr>
        <w:t>Based on the lack of a treaty as described above, U.S. investors may not be able to enforce against us or our management board members, supervisory board members, representatives or certain experts named herein who are residents of The Netherlands or</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countries other than the United States any judgments obtained in U.S. courts in civil and commercial matters, including judgments under the U.S. federal securities laws.</w:t>
      </w:r>
    </w:p>
    <w:p>
      <w:pPr>
        <w:spacing w:after="0" w:line="164"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8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addition, actions brought in a German court against us, our management board members, our supervisory board members,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members, our supervisory board members, our senior management and the experts named in this prospectus.</w:t>
      </w:r>
    </w:p>
    <w:p>
      <w:pPr>
        <w:spacing w:after="0" w:line="18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Based on the foregoing, there can be no assurance that U.S. investors will be able to enforce against us or management board members, supervisory board members, executive officers or certain experts named herein who are residents of or possessing assets in The Netherlands, Germany and or other countries other than the United States any judgments obtained in U.S. courts in civil and commercial matters, including judgments under the U.S. federal securities laws.</w:t>
      </w:r>
    </w:p>
    <w:p>
      <w:pPr>
        <w:spacing w:after="0" w:line="17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are a Dutch public company. The rights of our shareholders may be different from the rights of shareholders in companies governed by the laws of U.S. jurisdictions and may not protect investors in a similar fashion afforded by incorporation in a U.S. jurisdiction.</w:t>
      </w:r>
    </w:p>
    <w:p>
      <w:pPr>
        <w:spacing w:after="0" w:line="135"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We are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Our corporate affairs are governed by our articles of association, the 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84"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7"/>
          <w:szCs w:val="17"/>
          <w:color w:val="auto"/>
        </w:rPr>
        <w:t>The rights of shareholders and the responsibilities of management board members and supervisory board members may be different from the rights and obligations of shareholders and directors in companies governed by the laws of U.S. jurisdictions. In the performance of their duties, our management board members and supervisory board members are required by Dutch law to consider the interests of our Company, its shareholders, its employees and other stakeholders, in all cases with due observance of the principles of reasonableness and fairness. It is possible that some of these parties will have interests that are different from, or in addition to, your interests as a shareholder.</w:t>
      </w:r>
    </w:p>
    <w:p>
      <w:pPr>
        <w:spacing w:after="0" w:line="170" w:lineRule="exact"/>
        <w:rPr>
          <w:sz w:val="20"/>
          <w:szCs w:val="20"/>
          <w:color w:val="auto"/>
        </w:rPr>
      </w:pPr>
    </w:p>
    <w:p>
      <w:pPr>
        <w:ind w:right="220" w:firstLine="318"/>
        <w:spacing w:after="0" w:line="250" w:lineRule="auto"/>
        <w:rPr>
          <w:sz w:val="20"/>
          <w:szCs w:val="20"/>
          <w:color w:val="auto"/>
        </w:rPr>
      </w:pPr>
      <w:r>
        <w:rPr>
          <w:rFonts w:ascii="Times New Roman" w:cs="Times New Roman" w:eastAsia="Times New Roman" w:hAnsi="Times New Roman"/>
          <w:sz w:val="18"/>
          <w:szCs w:val="18"/>
          <w:color w:val="auto"/>
        </w:rPr>
        <w:t>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 resolution to amend the text or purport of these provisions of our articles of association shall require a unanimous vote in a general meeting where the entire issued share capital is represented.</w:t>
      </w:r>
    </w:p>
    <w:p>
      <w:pPr>
        <w:spacing w:after="0" w:line="187" w:lineRule="exact"/>
        <w:rPr>
          <w:sz w:val="20"/>
          <w:szCs w:val="20"/>
          <w:color w:val="auto"/>
        </w:rPr>
      </w:pPr>
    </w:p>
    <w:p>
      <w:pPr>
        <w:ind w:right="380" w:firstLine="318"/>
        <w:spacing w:after="0" w:line="276" w:lineRule="auto"/>
        <w:rPr>
          <w:sz w:val="20"/>
          <w:szCs w:val="20"/>
          <w:color w:val="auto"/>
        </w:rPr>
      </w:pPr>
      <w:r>
        <w:rPr>
          <w:rFonts w:ascii="Times New Roman" w:cs="Times New Roman" w:eastAsia="Times New Roman" w:hAnsi="Times New Roman"/>
          <w:sz w:val="18"/>
          <w:szCs w:val="18"/>
          <w:color w:val="auto"/>
        </w:rPr>
        <w:t>For more information on relevant provisions of Dutch corporation law and of our articles of association, see “</w:t>
      </w:r>
      <w:r>
        <w:rPr>
          <w:rFonts w:ascii="Times New Roman" w:cs="Times New Roman" w:eastAsia="Times New Roman" w:hAnsi="Times New Roman"/>
          <w:sz w:val="18"/>
          <w:szCs w:val="18"/>
          <w:i w:val="1"/>
          <w:iCs w:val="1"/>
          <w:color w:val="auto"/>
        </w:rPr>
        <w:t>Description of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and Articles of Association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Dutch Corporate Law and U.S. Corporate Law.</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contain exclusive forum provisions for certain claims, which could limit our shareholders’ ability to obtain a favorable judicial forum for disputes with us or the members of our management or supervisory board.</w:t>
      </w:r>
    </w:p>
    <w:p>
      <w:pPr>
        <w:spacing w:after="0" w:line="159"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Our articles of association provide that unless we consent in writing to the selection of another forum, the federal district courts of the United States of America will, to the fullest extent permitted by law, be the exclusive forum for resolving any complaint asserting a cause of action arising under the Securities Act or the Exchange Act (the “Federal Forum Provision”). Moreover, Section 22 of the Securities Act creates concurrent jurisdiction for federal and state courts over all claims brought to enforce any duty or liability created by the Securities Act or the rules and regulations thereunder. Our decision to adopt the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w:t>
      </w:r>
    </w:p>
    <w:p>
      <w:pPr>
        <w:spacing w:after="0" w:line="173" w:lineRule="exact"/>
        <w:rPr>
          <w:sz w:val="20"/>
          <w:szCs w:val="20"/>
          <w:color w:val="auto"/>
        </w:rPr>
      </w:pPr>
    </w:p>
    <w:p>
      <w:pPr>
        <w:jc w:val="both"/>
        <w:ind w:right="20" w:firstLine="318"/>
        <w:spacing w:after="0" w:line="268"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claims brought to enforce any duty or liability created by the Exchange Act or the rules and regulations thereunder and our articles of association confirm that the federal district courts of the United States of America will be the exclusive forum for resolving any complaint asserting a cause of action arising under the Exchange Act.</w:t>
      </w:r>
    </w:p>
    <w:p>
      <w:pPr>
        <w:spacing w:after="0" w:line="1" w:lineRule="exact"/>
        <w:rPr>
          <w:sz w:val="20"/>
          <w:szCs w:val="20"/>
          <w:color w:val="auto"/>
        </w:rPr>
      </w:pPr>
    </w:p>
    <w:p>
      <w:pPr>
        <w:ind w:right="740"/>
        <w:spacing w:after="0" w:line="252" w:lineRule="auto"/>
        <w:rPr>
          <w:sz w:val="20"/>
          <w:szCs w:val="20"/>
          <w:color w:val="auto"/>
        </w:rPr>
      </w:pPr>
      <w:r>
        <w:rPr>
          <w:rFonts w:ascii="Times New Roman" w:cs="Times New Roman" w:eastAsia="Times New Roman" w:hAnsi="Times New Roman"/>
          <w:sz w:val="18"/>
          <w:szCs w:val="18"/>
          <w:color w:val="auto"/>
        </w:rPr>
        <w:t>Accordingly, actions by our shareholders to enforce any duty or liability created by the Exchange Act or the rules and regulations thereunder must be brought in federal court.</w:t>
      </w:r>
    </w:p>
    <w:p>
      <w:pPr>
        <w:spacing w:after="0" w:line="18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may argue that any person or entity purchasing or otherwise acquiring or holding any interest in any of our securities will have, or will be deemed to have, notice of and consented to our exclusive forum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the members of our management or supervisory board, or employees and agents, which may discourage lawsuits against us and the members of our management or supervisory board or employees and agents. Alternatively, if a court were to find the choice of forum provision contained in our articles of association to be inapplicable or unenforceable in an action, we may incur additional costs associated with resolving such action in other jurisdictions, which may have an adverse effect on our business, financial condition and results of operations.</w:t>
      </w:r>
    </w:p>
    <w:p>
      <w:pPr>
        <w:spacing w:after="0" w:line="181"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Provisions of our articles of association or Dutch corporate law might deter acquisition bids for us that might be considered favorable and prevent, delay or frustrate any attempt to replace or remove our management board members or supervisory board members.</w:t>
      </w:r>
    </w:p>
    <w:p>
      <w:pPr>
        <w:spacing w:after="0" w:line="137"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include:</w:t>
      </w:r>
    </w:p>
    <w:p>
      <w:pPr>
        <w:spacing w:after="0" w:line="176" w:lineRule="exact"/>
        <w:rPr>
          <w:sz w:val="20"/>
          <w:szCs w:val="20"/>
          <w:color w:val="auto"/>
        </w:rPr>
      </w:pPr>
    </w:p>
    <w:p>
      <w:pPr>
        <w:ind w:left="680" w:right="200" w:hanging="328"/>
        <w:spacing w:after="0" w:line="274" w:lineRule="auto"/>
        <w:tabs>
          <w:tab w:leader="none" w:pos="68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dual-class share structure which consists of ordinary shares and high voting shares, with ordinary shares carrying one vote per share and high voting shares carrying 25 votes per share;</w:t>
      </w:r>
    </w:p>
    <w:p>
      <w:pPr>
        <w:spacing w:after="0" w:line="164" w:lineRule="exact"/>
        <w:rPr>
          <w:rFonts w:ascii="Times New Roman" w:cs="Times New Roman" w:eastAsia="Times New Roman" w:hAnsi="Times New Roman"/>
          <w:sz w:val="18"/>
          <w:szCs w:val="18"/>
          <w:color w:val="231F20"/>
        </w:rPr>
      </w:pPr>
    </w:p>
    <w:p>
      <w:pPr>
        <w:ind w:left="680" w:right="120" w:hanging="328"/>
        <w:spacing w:after="0" w:line="260" w:lineRule="auto"/>
        <w:tabs>
          <w:tab w:leader="none" w:pos="68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that each of our two founders, Laurin Hahn and Jona Christians, as long as the relevant founder holds at least 5% of our voting rights, each can make a binding nomination for the appointment of one supervisory board member, which can only be overruled by a two-thirds majority of votes cast representing more than 50% of our issued share capital;</w:t>
      </w:r>
    </w:p>
    <w:p>
      <w:pPr>
        <w:spacing w:after="0" w:line="176" w:lineRule="exact"/>
        <w:rPr>
          <w:rFonts w:ascii="Times New Roman" w:cs="Times New Roman" w:eastAsia="Times New Roman" w:hAnsi="Times New Roman"/>
          <w:sz w:val="18"/>
          <w:szCs w:val="18"/>
          <w:color w:val="231F20"/>
        </w:rPr>
      </w:pPr>
    </w:p>
    <w:p>
      <w:pPr>
        <w:ind w:left="680" w:right="260" w:hanging="328"/>
        <w:spacing w:after="0" w:line="255" w:lineRule="auto"/>
        <w:tabs>
          <w:tab w:leader="none" w:pos="68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that our management board members and the supervisory board members, not appointed on the basis of a binding nomination by one of our founders as described above, are appointed on the basis of a binding nomination prepared by our supervisory board which can only be overruled by a two-thirds majority of votes cast representing more than half of our issued share capital;</w:t>
      </w:r>
    </w:p>
    <w:p>
      <w:pPr>
        <w:spacing w:after="0" w:line="181" w:lineRule="exact"/>
        <w:rPr>
          <w:rFonts w:ascii="Times New Roman" w:cs="Times New Roman" w:eastAsia="Times New Roman" w:hAnsi="Times New Roman"/>
          <w:sz w:val="18"/>
          <w:szCs w:val="18"/>
          <w:color w:val="231F20"/>
        </w:rPr>
      </w:pPr>
    </w:p>
    <w:p>
      <w:pPr>
        <w:ind w:left="680" w:right="420" w:hanging="328"/>
        <w:spacing w:after="0" w:line="260" w:lineRule="auto"/>
        <w:tabs>
          <w:tab w:leader="none" w:pos="68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176" w:lineRule="exact"/>
        <w:rPr>
          <w:rFonts w:ascii="Times New Roman" w:cs="Times New Roman" w:eastAsia="Times New Roman" w:hAnsi="Times New Roman"/>
          <w:sz w:val="18"/>
          <w:szCs w:val="18"/>
          <w:color w:val="231F20"/>
        </w:rPr>
      </w:pPr>
    </w:p>
    <w:p>
      <w:pPr>
        <w:ind w:left="680" w:right="360" w:hanging="328"/>
        <w:spacing w:after="0" w:line="304" w:lineRule="auto"/>
        <w:tabs>
          <w:tab w:leader="none" w:pos="68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provision allowing, among other matters, the former chairperson of our supervisory board to manage our affairs if all of our supervisory board members are removed from office and to appoint others to be charged with the supervision of our affairs,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340"/>
        <w:spacing w:after="0" w:line="274" w:lineRule="auto"/>
        <w:rPr>
          <w:sz w:val="20"/>
          <w:szCs w:val="20"/>
          <w:color w:val="auto"/>
        </w:rPr>
      </w:pPr>
      <w:r>
        <w:rPr>
          <w:rFonts w:ascii="Times New Roman" w:cs="Times New Roman" w:eastAsia="Times New Roman" w:hAnsi="Times New Roman"/>
          <w:sz w:val="18"/>
          <w:szCs w:val="18"/>
          <w:color w:val="231F20"/>
        </w:rPr>
        <w:t>until new supervisory board members are appointed by the general meeting on the basis of the binding nominations discussed above; and</w:t>
      </w:r>
    </w:p>
    <w:p>
      <w:pPr>
        <w:spacing w:after="0" w:line="164" w:lineRule="exact"/>
        <w:rPr>
          <w:sz w:val="20"/>
          <w:szCs w:val="20"/>
          <w:color w:val="auto"/>
        </w:rPr>
      </w:pPr>
    </w:p>
    <w:p>
      <w:pPr>
        <w:ind w:left="680" w:right="380" w:hanging="328"/>
        <w:spacing w:after="0" w:line="274" w:lineRule="auto"/>
        <w:tabs>
          <w:tab w:leader="none" w:pos="6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requirement that certain matters, including an amendment of our articles of association, may only be brought to our general meeting for a vote upon a proposal by our management board with the approval of our supervisory board.</w:t>
      </w:r>
    </w:p>
    <w:p>
      <w:pPr>
        <w:spacing w:after="0" w:line="164"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spacing w:after="0" w:line="17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Furthermore, in accordance with the Dutch Corporate Governance Code (the “DCGC”), shareholders who have the right to put an item on the agenda for our general meeting or to request the convening of a general meeting shall not exercise such rights until after they have consulted our management board. If exercising such rights may result in a change in our strategy (for example, through the dismissal of one or more of our management board members or supervisory board members), our management board must be given the opportunity to invoke a reasonable period of up to 180 days to respond to the shareholders’ intentions. If invoked, our management board must use such response period for further deliberation and constructive consultation, in any event with the shareholder(s) concerned and exploring alternatives. At the end of the response time, our management board, supervised by our supervisory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Moreover, our management board, with the approval of our supervisory board, can invoke a cooling- off period of up to 250 days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shareholders, using their right to have items added to the agenda for a general meeting or their right to request a general meeting,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 an agenda item for our general meeting to dismiss, suspend or appoint one or more management board members or supervisory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members (or to amend any provision in our articles of association dealing with those matters) or when a public offer for 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made or announced without our support, provided, in each case, that our management board believes that such proposal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materially conflicts with the interests of our Company and its business. During a cooling-off period, our general meeting cannot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dismiss, suspend or appoint management board members and supervisory board members (or amend the provisions in our articles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dealing with those matters) except at the proposal of our management board. During a cooling-off period, our management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must gather all relevant information necessary for a careful decision-making process and at least consult with shareholders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representing 3% or more of our issued share capital at the time the cooling-off period was invoked, as well as with our Dutch works council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or, under certain circumstances, any of our subsidiaries would have one). Formal statements expressed by these stakeholders during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consultations must be published on our website to the extent these stakeholders have approved that publication. Ultimately one week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 last day of the cooling-off period, our management board must publish a report in respect of its policy and conduct of affairs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cooling-off period on our website. This report must remain available for inspection by shareholders and others with meeting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rights under Dutch law at our office and must be tabled for discussion at the next general meeting. Shareholders representing at least 3%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issued share capital may request the Enterprise Chamber of the Amsterdam Court of Appeal (the “Enterprise Chamber”)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for early termination of the cooling-off period. The Enterprise Chamber must rule in favor of the request if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can demonstrate that:</w:t>
      </w:r>
    </w:p>
    <w:p>
      <w:pPr>
        <w:spacing w:after="0" w:line="198" w:lineRule="exact"/>
        <w:rPr>
          <w:sz w:val="20"/>
          <w:szCs w:val="20"/>
          <w:color w:val="auto"/>
        </w:rPr>
      </w:pPr>
    </w:p>
    <w:p>
      <w:pPr>
        <w:ind w:left="680" w:right="60" w:hanging="328"/>
        <w:spacing w:after="0" w:line="260" w:lineRule="auto"/>
        <w:tabs>
          <w:tab w:leader="none" w:pos="68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76" w:lineRule="exact"/>
        <w:rPr>
          <w:rFonts w:ascii="Times New Roman" w:cs="Times New Roman" w:eastAsia="Times New Roman" w:hAnsi="Times New Roman"/>
          <w:sz w:val="18"/>
          <w:szCs w:val="18"/>
          <w:color w:val="231F20"/>
        </w:rPr>
      </w:pPr>
    </w:p>
    <w:p>
      <w:pPr>
        <w:ind w:left="680" w:right="60" w:hanging="328"/>
        <w:spacing w:after="0" w:line="274" w:lineRule="auto"/>
        <w:tabs>
          <w:tab w:leader="none" w:pos="68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board cannot reasonably believe that a continuation of the cooling-off period would contribute to careful policy-making; or</w:t>
      </w:r>
    </w:p>
    <w:p>
      <w:pPr>
        <w:spacing w:after="0" w:line="164" w:lineRule="exact"/>
        <w:rPr>
          <w:rFonts w:ascii="Times New Roman" w:cs="Times New Roman" w:eastAsia="Times New Roman" w:hAnsi="Times New Roman"/>
          <w:sz w:val="18"/>
          <w:szCs w:val="18"/>
          <w:color w:val="231F20"/>
        </w:rPr>
      </w:pPr>
    </w:p>
    <w:p>
      <w:pPr>
        <w:ind w:left="680" w:right="300" w:hanging="328"/>
        <w:spacing w:after="0" w:line="260" w:lineRule="auto"/>
        <w:tabs>
          <w:tab w:leader="none" w:pos="68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obligated to, and do not, comply with all best practice provisions of the Dutch Corporate Governance Code.</w:t>
      </w:r>
    </w:p>
    <w:p>
      <w:pPr>
        <w:spacing w:after="0" w:line="222"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We are subject to the DCGC. The DCGC contains both principles and best practice provisions on corporate governance that regulate relations between the management board, the supervisory board and the general meeting and matters in respect of financial</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w:t>
      </w:r>
      <w:r>
        <w:rPr>
          <w:rFonts w:ascii="Times New Roman" w:cs="Times New Roman" w:eastAsia="Times New Roman" w:hAnsi="Times New Roman"/>
          <w:sz w:val="18"/>
          <w:szCs w:val="18"/>
          <w:i w:val="1"/>
          <w:iCs w:val="1"/>
          <w:color w:val="auto"/>
        </w:rPr>
        <w:t>Description of Share Capital and Articles of Association.</w:t>
      </w:r>
      <w:r>
        <w:rPr>
          <w:rFonts w:ascii="Times New Roman" w:cs="Times New Roman" w:eastAsia="Times New Roman" w:hAnsi="Times New Roman"/>
          <w:sz w:val="18"/>
          <w:szCs w:val="18"/>
          <w:color w:val="auto"/>
        </w:rPr>
        <w:t>” This may affect your rights as a shareholder and you may not have the same level of protection as a shareholder in a Dutch company that fully complies with the DCGC.</w:t>
      </w:r>
    </w:p>
    <w:p>
      <w:pPr>
        <w:spacing w:after="0" w:line="185"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Securities Act, and we cannot be certain whether the reduced disclosure requirements applicable to emerging growth companies will make our ordinary shares less attractive to investors, given that we may rely on these exemptions.</w:t>
      </w:r>
    </w:p>
    <w:p>
      <w:pPr>
        <w:spacing w:after="0" w:line="175"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We are eligible to be treated as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in our annual reports filed on Form 20-F. As a result, our shareholders may not have access to certain information that they may deem important. We could be an emerging growth company for up to five years from the date of our IPO, although circumstances could cause us to lose that status earlier, including if our total annual gross revenue exceeds $1.235 billion, if we issue more than $1.00 billion in non-convertible debt securities during any three-year period, or if we are a large accelerated filer and the market value of our ordinary shares held by non-affiliates exceeds $700 million as of the end of any second quarter before that time.</w:t>
      </w:r>
    </w:p>
    <w:p>
      <w:pPr>
        <w:spacing w:after="0" w:line="173"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U.S. proxy rules and are only subject to Exchange Act reporting obligations that, to some extent, are more lenient and less frequent than those of a U.S. domestic public company.</w:t>
      </w:r>
    </w:p>
    <w:p>
      <w:pPr>
        <w:spacing w:after="0" w:line="159"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 xml:space="preserve">We report under the Exchange Act as a non-U.S. company with foreign private issuer status. Because we qualify as a foreign private issuer under the Exchange Act and although we are subject to Dutch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w:t>
      </w:r>
      <w:r>
        <w:rPr>
          <w:rFonts w:ascii="Times New Roman" w:cs="Times New Roman" w:eastAsia="Times New Roman" w:hAnsi="Times New Roman"/>
          <w:sz w:val="18"/>
          <w:szCs w:val="18"/>
          <w:color w:val="231F20"/>
        </w:rPr>
        <w:t>the rules under the Exchange Act requiring the filing with the SEC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quarterly reports on Form 10-Q containing unaudited financial and other specified information. In addition, foreign private issuers are required to file their annual report on Form 20-F within four months after the end of each fiscal year, while </w:t>
      </w:r>
      <w:r>
        <w:rPr>
          <w:rFonts w:ascii="Times New Roman" w:cs="Times New Roman" w:eastAsia="Times New Roman" w:hAnsi="Times New Roman"/>
          <w:sz w:val="18"/>
          <w:szCs w:val="18"/>
          <w:color w:val="000000"/>
        </w:rPr>
        <w:t>U.S. domestic issuers that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ordinary shares may not have the same protections afforded to shareholders of a company that is not a foreign private issuer.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w:t>
      </w:r>
    </w:p>
    <w:p>
      <w:pPr>
        <w:spacing w:after="0" w:line="182"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In the future, we would lose our foreign private issuer status if, among others, (1) more than 50% of our outstanding voting securities, which we intend to determine based on the voting power of our ordinary shares and high voting shares on a combined basis are directly or indirectly held of record by U.S. residents and (2) a majority of our directors or executive officers are U.S. citizens or residents, more than 50% of our assets are located in the United States or our business is administered principally in the United States. If we lose our foreign private issuer status, we will be required to file with the SEC periodic reports and registration statements on U.S. domestic issuer forms including consolidated financial statements prepared under US GAAP, and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7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follow certain home country governance practices rather than the corporate governance requirements of Nasdaq.</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a foreign private issuer. As a result, in accordance with the listing requirements of Nasdaq we will rely on home country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requirements and certain exemptions thereunder rather than relying on the corporate governance requirements of Nasdaq.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Dutch law and generally accepted business practices, our articles of association currently do not provide quorum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generally applicable to general meetings. To this extent, our practice varies from the requirement of Nasdaq Listing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5620(c), which requires an issuer to provide in its bylaws for a generally applicable quorum, and that such quorum may not be less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one-third of the outstanding voting shares. Although we must provide shareholders with an agenda and other relevant documents for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Dutch law does not have a regulatory regime for the solicitation of proxies and the solicitation of proxies is not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generally accepted business practice in The Netherlands, thus our practice will vary from the requirement of Nasdaq Listing Rule 5620(b).</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the listing requirements of Nasdaq, we have also opted out of the requirements of Nasdaq Listing Rule 5605(d), which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 among other things, an issuer to have a compensation committee that consists entirely of independent directors, Nasdaq Listing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 5605(e), which requires independent director oversight of director nominations, and Nasdaq Listing Rule 5605(b)(1), which requires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issuer to have a majority of independent directors on its board. In addition, we have opted out of shareholder approval requirements,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Nasdaq Listing Rules, for the issuance of securities in connection with certain events such as the acquisition of shares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of another company, the establishment of or amendments to equity-based compensation plans for employees, a change of control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and certain private placements. To this extent, our practice varies from the requirements of Nasdaq Rule 5635, which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generally requires an issuer to obtain shareholder approval for the issuance of securities in connection with such events. For an overview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governance principles, see “</w:t>
      </w:r>
      <w:r>
        <w:rPr>
          <w:rFonts w:ascii="Times New Roman" w:cs="Times New Roman" w:eastAsia="Times New Roman" w:hAnsi="Times New Roman"/>
          <w:sz w:val="18"/>
          <w:szCs w:val="18"/>
          <w:i w:val="1"/>
          <w:iCs w:val="1"/>
          <w:color w:val="auto"/>
        </w:rPr>
        <w:t>Description of Share Capital and Articles of Association.</w:t>
      </w:r>
      <w:r>
        <w:rPr>
          <w:rFonts w:ascii="Times New Roman" w:cs="Times New Roman" w:eastAsia="Times New Roman" w:hAnsi="Times New Roman"/>
          <w:sz w:val="18"/>
          <w:szCs w:val="18"/>
          <w:color w:val="auto"/>
        </w:rPr>
        <w:t>” Accordingly, you may not have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protections afforded to shareholders of companies that are subject to these stock exchange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for the foreseeable future.</w:t>
      </w:r>
    </w:p>
    <w:p>
      <w:pPr>
        <w:spacing w:after="0" w:line="222"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color w:val="auto"/>
        </w:rPr>
        <w:t>We currently intend to retain our future earnings, if any, for the foreseeable future, to fund the development and growth of our business. We do not intend to pay any dividends to holders of our ordinary shares. As a result, capital appreciation in the price of our ordinary shares, if any, will be your only source of gain on an investment in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ability to utilize our net operating losses (“NOLs”) is currently limited, and may be limited further, under Section 8c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 Corporation Income Tax Act (</w:t>
      </w:r>
      <w:r>
        <w:rPr>
          <w:rFonts w:ascii="Times New Roman" w:cs="Times New Roman" w:eastAsia="Times New Roman" w:hAnsi="Times New Roman"/>
          <w:sz w:val="18"/>
          <w:szCs w:val="18"/>
          <w:i w:val="1"/>
          <w:iCs w:val="1"/>
          <w:color w:val="auto"/>
        </w:rPr>
        <w:t>Körperschaftsteuergesetz</w:t>
      </w:r>
      <w:r>
        <w:rPr>
          <w:rFonts w:ascii="Times New Roman" w:cs="Times New Roman" w:eastAsia="Times New Roman" w:hAnsi="Times New Roman"/>
          <w:sz w:val="18"/>
          <w:szCs w:val="18"/>
          <w:color w:val="auto"/>
        </w:rPr>
        <w:t>) (“KStG”) and Section 10a of the German Trade Tax 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Gewerbesteuergesetz</w:t>
      </w:r>
      <w:r>
        <w:rPr>
          <w:rFonts w:ascii="Times New Roman" w:cs="Times New Roman" w:eastAsia="Times New Roman" w:hAnsi="Times New Roman"/>
          <w:sz w:val="17"/>
          <w:szCs w:val="17"/>
          <w:color w:val="auto"/>
        </w:rPr>
        <w:t>) (“GewStG”). These limitations apply if a qualified ownership change, as defined by Section 8c KStG, occurs and no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is applicable.</w:t>
      </w:r>
    </w:p>
    <w:p>
      <w:pPr>
        <w:spacing w:after="0" w:line="198"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the case of such a qualified ownership change tax loss carryforwards expire in full. To the extent that the tax loss carryforwards do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exceed the built-in gains (</w:t>
      </w:r>
      <w:r>
        <w:rPr>
          <w:rFonts w:ascii="Times New Roman" w:cs="Times New Roman" w:eastAsia="Times New Roman" w:hAnsi="Times New Roman"/>
          <w:sz w:val="18"/>
          <w:szCs w:val="18"/>
          <w:i w:val="1"/>
          <w:iCs w:val="1"/>
          <w:color w:val="auto"/>
        </w:rPr>
        <w:t>stille Reserven</w:t>
      </w:r>
      <w:r>
        <w:rPr>
          <w:rFonts w:ascii="Times New Roman" w:cs="Times New Roman" w:eastAsia="Times New Roman" w:hAnsi="Times New Roman"/>
          <w:sz w:val="18"/>
          <w:szCs w:val="18"/>
          <w:color w:val="auto"/>
        </w:rPr>
        <w:t>) in the assets and liabilities taxable in Germany, they may be further utilized despite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ownership change. In case of a qualified ownership change within a group, tax loss carryforwards will be preserved if certain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are satisfied. In case of a qualified ownership change, tax loss carryforwards will be preserved (in the form of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fortfuhrungsgebundener Verlustvortrag</w:t>
      </w:r>
      <w:r>
        <w:rPr>
          <w:rFonts w:ascii="Times New Roman" w:cs="Times New Roman" w:eastAsia="Times New Roman" w:hAnsi="Times New Roman"/>
          <w:sz w:val="17"/>
          <w:szCs w:val="17"/>
          <w:color w:val="auto"/>
        </w:rPr>
        <w:t>”) if the business operations have not been changed and will not be changed within the meaning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8d KStG.</w:t>
      </w:r>
    </w:p>
    <w:p>
      <w:pPr>
        <w:spacing w:after="0" w:line="198" w:lineRule="exact"/>
        <w:rPr>
          <w:sz w:val="20"/>
          <w:szCs w:val="20"/>
          <w:color w:val="auto"/>
        </w:rPr>
      </w:pPr>
    </w:p>
    <w:p>
      <w:pPr>
        <w:ind w:right="80" w:firstLine="318"/>
        <w:spacing w:after="0" w:line="304" w:lineRule="auto"/>
        <w:rPr>
          <w:sz w:val="20"/>
          <w:szCs w:val="20"/>
          <w:color w:val="auto"/>
        </w:rPr>
      </w:pPr>
      <w:r>
        <w:rPr>
          <w:rFonts w:ascii="Times New Roman" w:cs="Times New Roman" w:eastAsia="Times New Roman" w:hAnsi="Times New Roman"/>
          <w:sz w:val="17"/>
          <w:szCs w:val="17"/>
          <w:color w:val="auto"/>
        </w:rPr>
        <w:t>According to an appeal filed by the fiscal court of Hamburg dated August 29, 2017, Section 8c, paragraph 1, sentence 1 KStG is not in line with the German constitution. The appeal is still pending. It is unclear when the Federal Constitutional Court will decide this case.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As of December 31, 2021, there are NOLs of Sono Motors GmbH for German corporate tax purposes of €112.0 million and for German trade tax purposes of €111.6 million available. The contribution of 100% of Sono Motor GmbH’s shares into Sono Group B.V. was qualified as an ownership change within the meaning of Section 8c KStG and Section 10a GewStG. The available tax loss carryforwards of Sono Motors GmbH will generally expire in full. However, the NOLs would not be forfeited to the extent that Sono Motors GmbH has built-in gains in its assets that are fully taxable in Germany. The built-in gains are determined by comparing the Fair Market Value of the respective entity with the entity’s tax book equity. A preliminary determination of the built-in gains has shown that all of the tax loss carryforwards would be maintained.</w:t>
      </w:r>
    </w:p>
    <w:p>
      <w:pPr>
        <w:spacing w:after="0" w:line="189"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spacing w:after="0" w:line="17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Shareholders may not be able to exercise preemptive rights and, as a result, may experience substantial dilution upon future issuances of ordinary shares.</w:t>
      </w:r>
    </w:p>
    <w:p>
      <w:pPr>
        <w:spacing w:after="0" w:line="159"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auto"/>
        </w:rPr>
        <w:t>In the event of an issuance of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management board, subject to approval of our supervisory board, has been authorized, for a period of five years to issue shares or grant rights to subscribe for shares up to our authorized share capital from time to time and to limit or exclude preemptive rights in connection therewith. This could cause existing shareholders to experience substantial dilution of their interest in us. Our management board passed a resolution excluding any pre-emption rights associated with sales of shares to the Selling Shareholder under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182" w:lineRule="exact"/>
        <w:rPr>
          <w:sz w:val="20"/>
          <w:szCs w:val="20"/>
          <w:color w:val="auto"/>
        </w:rPr>
      </w:pPr>
    </w:p>
    <w:p>
      <w:pPr>
        <w:ind w:left="680" w:right="180" w:hanging="328"/>
        <w:spacing w:after="0" w:line="274" w:lineRule="auto"/>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business and financial performance, including our revenue, operating expenses and our ability to achieve profitability and maintain our future business and operating results;</w:t>
      </w:r>
    </w:p>
    <w:p>
      <w:pPr>
        <w:spacing w:after="0" w:line="164" w:lineRule="exact"/>
        <w:rPr>
          <w:rFonts w:ascii="Times New Roman" w:cs="Times New Roman" w:eastAsia="Times New Roman" w:hAnsi="Times New Roman"/>
          <w:sz w:val="18"/>
          <w:szCs w:val="18"/>
          <w:color w:val="231F20"/>
        </w:rPr>
      </w:pPr>
    </w:p>
    <w:p>
      <w:pPr>
        <w:ind w:left="680" w:right="140" w:hanging="328"/>
        <w:spacing w:after="0" w:line="274" w:lineRule="auto"/>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strategies, plan, objectives and goals, including, for example, the planned completion of the development of the Sion and the beginning of its serial production as well as intended expansion of our product portfolio or geographic reach;</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reservations for the Sion and net sales volume potential;</w:t>
      </w:r>
    </w:p>
    <w:p>
      <w:pPr>
        <w:spacing w:after="0" w:line="217" w:lineRule="exact"/>
        <w:rPr>
          <w:rFonts w:ascii="Times New Roman" w:cs="Times New Roman" w:eastAsia="Times New Roman" w:hAnsi="Times New Roman"/>
          <w:sz w:val="18"/>
          <w:szCs w:val="18"/>
          <w:color w:val="231F20"/>
        </w:rPr>
      </w:pPr>
    </w:p>
    <w:p>
      <w:pPr>
        <w:ind w:left="680" w:hanging="328"/>
        <w:spacing w:after="0" w:line="274" w:lineRule="auto"/>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start of serial production of the Sion and the key steps to start production including indicative milestones and funding requirements;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cost and capital expenditure savings using our strategy;</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planned monetization of our technological innovations;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sustainability goals including our plan to offset CO2 from production;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 to generate revenue from emission certificate pooling under relevant EU regulations on CO2 credits (CO2 pooling);</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statements with respect to the Purchase Agreement and our intended use of proceeds from the sales of shares thereunder;</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funding requirements; and</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the development of our industry, market size and the competitive environment in which we operate.</w:t>
      </w:r>
    </w:p>
    <w:p>
      <w:pPr>
        <w:spacing w:after="0" w:line="21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which include the following:</w:t>
      </w:r>
    </w:p>
    <w:p>
      <w:pPr>
        <w:spacing w:after="0" w:line="190" w:lineRule="exact"/>
        <w:rPr>
          <w:sz w:val="20"/>
          <w:szCs w:val="20"/>
          <w:color w:val="auto"/>
        </w:rPr>
      </w:pPr>
    </w:p>
    <w:p>
      <w:pPr>
        <w:ind w:left="680" w:right="500" w:hanging="328"/>
        <w:spacing w:after="0" w:line="274" w:lineRule="auto"/>
        <w:tabs>
          <w:tab w:leader="none" w:pos="6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history of significant losses and expect continuing losses for the foreseeable future, which lead to continued reliance on external financing and raise substantial doubt about our ability to continue </w:t>
      </w:r>
      <w:r>
        <w:rPr>
          <w:rFonts w:ascii="Times New Roman" w:cs="Times New Roman" w:eastAsia="Times New Roman" w:hAnsi="Times New Roman"/>
          <w:sz w:val="18"/>
          <w:szCs w:val="18"/>
          <w:color w:val="000000"/>
        </w:rPr>
        <w:t>as a going concern;</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dependence of our success and future growth upon the market’s willingness to adopt solar electric vehicles;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developments in vehicle technology that may adversely affect the demand for solar electric vehicles;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180" w:hanging="328"/>
        <w:spacing w:after="0" w:line="274" w:lineRule="auto"/>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competitiveness of the automotive market and the risk to fail to be among the first to serve the mass market with an electric vehicle with solar power capability;</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high volatility of demand in the automobile industry;</w:t>
      </w:r>
    </w:p>
    <w:p>
      <w:pPr>
        <w:spacing w:after="0" w:line="217" w:lineRule="exact"/>
        <w:rPr>
          <w:rFonts w:ascii="Times New Roman" w:cs="Times New Roman" w:eastAsia="Times New Roman" w:hAnsi="Times New Roman"/>
          <w:sz w:val="18"/>
          <w:szCs w:val="18"/>
          <w:color w:val="231F20"/>
        </w:rPr>
      </w:pPr>
    </w:p>
    <w:p>
      <w:pPr>
        <w:ind w:left="680" w:right="160" w:hanging="328"/>
        <w:spacing w:after="0" w:line="274" w:lineRule="auto"/>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unproven ability to develop vehicles and the risk of failing to finalize development and realize the commercialization of the Sion within the intended timeframe, budget or at all;</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initial dependence on a single car model, the Sion;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our customers may cancel their reservations for the Sion without penalty;</w:t>
      </w:r>
    </w:p>
    <w:p>
      <w:pPr>
        <w:spacing w:after="0" w:line="217" w:lineRule="exact"/>
        <w:rPr>
          <w:rFonts w:ascii="Times New Roman" w:cs="Times New Roman" w:eastAsia="Times New Roman" w:hAnsi="Times New Roman"/>
          <w:sz w:val="18"/>
          <w:szCs w:val="18"/>
          <w:color w:val="231F20"/>
        </w:rPr>
      </w:pPr>
    </w:p>
    <w:p>
      <w:pPr>
        <w:ind w:left="680" w:hanging="328"/>
        <w:spacing w:after="0" w:line="274" w:lineRule="auto"/>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intention to deploy technologies and solutions in our vehicles, including our solar module technology, which may not be fully functional or available on our anticipated schedule or at all, and may remain unproven and pose additional risks;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the adequate protection of our intellectual property;</w:t>
      </w:r>
    </w:p>
    <w:p>
      <w:pPr>
        <w:spacing w:after="0" w:line="217" w:lineRule="exact"/>
        <w:rPr>
          <w:rFonts w:ascii="Times New Roman" w:cs="Times New Roman" w:eastAsia="Times New Roman" w:hAnsi="Times New Roman"/>
          <w:sz w:val="18"/>
          <w:szCs w:val="18"/>
          <w:color w:val="231F20"/>
        </w:rPr>
      </w:pPr>
    </w:p>
    <w:p>
      <w:pPr>
        <w:ind w:left="680" w:right="480" w:hanging="328"/>
        <w:spacing w:after="0" w:line="274" w:lineRule="auto"/>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our patent applications may not lead to the granting of patents or desired protection in time or at all, which may have a material adverse effect on our ability to prevent others from commercially exploiting products similar to ours;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obstacles we may face in tapping additional revenue opportunities;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delay in the development and homologation of the Sion;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delay in the commercial production of the Sion;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possible inability to develop manufacturing processes and capabilities within our projected costs and timelines;</w:t>
      </w:r>
    </w:p>
    <w:p>
      <w:pPr>
        <w:spacing w:after="0" w:line="217" w:lineRule="exact"/>
        <w:rPr>
          <w:rFonts w:ascii="Times New Roman" w:cs="Times New Roman" w:eastAsia="Times New Roman" w:hAnsi="Times New Roman"/>
          <w:sz w:val="18"/>
          <w:szCs w:val="18"/>
          <w:color w:val="231F20"/>
        </w:rPr>
      </w:pPr>
    </w:p>
    <w:p>
      <w:pPr>
        <w:ind w:left="680" w:right="160" w:hanging="328"/>
        <w:spacing w:after="0" w:line="274" w:lineRule="auto"/>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unproven and still-evolving ability to manufacture vehicles of sufficient quality and appeal to customers on schedule and at scale and to commercialize our vehicles;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Valmet Automotive for production of the Sion;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the development, production, performance and durability of batteries being engineered by a single supplier;</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a single supplier for production of a central component of our solar panels;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intention to outsource logistics management of our operations to 3PL and potentially 4PL services providers;</w:t>
      </w:r>
    </w:p>
    <w:p>
      <w:pPr>
        <w:spacing w:after="0" w:line="217" w:lineRule="exact"/>
        <w:rPr>
          <w:rFonts w:ascii="Times New Roman" w:cs="Times New Roman" w:eastAsia="Times New Roman" w:hAnsi="Times New Roman"/>
          <w:sz w:val="18"/>
          <w:szCs w:val="18"/>
          <w:color w:val="231F20"/>
        </w:rPr>
      </w:pPr>
    </w:p>
    <w:p>
      <w:pPr>
        <w:ind w:left="680" w:right="480" w:hanging="328"/>
        <w:spacing w:after="0" w:line="274" w:lineRule="auto"/>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negotiations of contractual agreements with many of our prospective suppliers and business partners and potential renegotiations of these agreements as we scale our business;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involvement of numerous third parties in our process, which adds significant complexity;</w:t>
      </w:r>
    </w:p>
    <w:p>
      <w:pPr>
        <w:spacing w:after="0" w:line="217" w:lineRule="exact"/>
        <w:rPr>
          <w:rFonts w:ascii="Times New Roman" w:cs="Times New Roman" w:eastAsia="Times New Roman" w:hAnsi="Times New Roman"/>
          <w:sz w:val="18"/>
          <w:szCs w:val="18"/>
          <w:color w:val="231F20"/>
        </w:rPr>
      </w:pPr>
    </w:p>
    <w:p>
      <w:pPr>
        <w:ind w:left="680" w:right="460" w:hanging="328"/>
        <w:spacing w:after="0" w:line="274" w:lineRule="auto"/>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dependence on the acceptance of our brand and any negative publicity relating to any of our business partners and their products or services, which could have a significant negative impact on our business and reputation;</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the Sion or any of our future vehicles may fail to perform as expected;</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significant use of various communication channels for our public relations activities, including our website and social media;</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500" w:hanging="328"/>
        <w:spacing w:after="0" w:line="274" w:lineRule="auto"/>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damage to our reputation due to the perception that our advertisements were overly positive or that we do not live up to our promises;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noncompliance of our advertisements with all relevant legal requirements in the past or in the future;</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that could materially adversely affect our business, prospects, operating results and financial condition;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unauthorized control or manipulation of our vehicles’ systems;</w:t>
      </w:r>
    </w:p>
    <w:p>
      <w:pPr>
        <w:spacing w:after="0" w:line="217" w:lineRule="exact"/>
        <w:rPr>
          <w:rFonts w:ascii="Times New Roman" w:cs="Times New Roman" w:eastAsia="Times New Roman" w:hAnsi="Times New Roman"/>
          <w:sz w:val="18"/>
          <w:szCs w:val="18"/>
          <w:color w:val="231F20"/>
        </w:rPr>
      </w:pPr>
    </w:p>
    <w:p>
      <w:pPr>
        <w:ind w:left="680" w:right="220" w:hanging="328"/>
        <w:spacing w:after="0" w:line="274" w:lineRule="auto"/>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associated with our growth strategy and international operations, including unfavorable regulatory, political, tax and labor conditions, which could harm our business;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failure to manage our future growth effectively;</w:t>
      </w:r>
    </w:p>
    <w:p>
      <w:pPr>
        <w:spacing w:after="0" w:line="217" w:lineRule="exact"/>
        <w:rPr>
          <w:rFonts w:ascii="Times New Roman" w:cs="Times New Roman" w:eastAsia="Times New Roman" w:hAnsi="Times New Roman"/>
          <w:sz w:val="18"/>
          <w:szCs w:val="18"/>
          <w:color w:val="231F20"/>
        </w:rPr>
      </w:pPr>
    </w:p>
    <w:p>
      <w:pPr>
        <w:ind w:left="680" w:right="360" w:hanging="328"/>
        <w:spacing w:after="0" w:line="274" w:lineRule="auto"/>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attract and retain key employees and hire qualified management, technical and vehicle engineering personnel, which could harm our ability to compete;</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related to health epidemics, including the recent COVID-19 pandemic;</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relating to the offering of shares under the Purchase Agreement including the amount of proceeds we may raise; and</w:t>
      </w:r>
    </w:p>
    <w:p>
      <w:pPr>
        <w:spacing w:after="0" w:line="217" w:lineRule="exact"/>
        <w:rPr>
          <w:rFonts w:ascii="Times New Roman" w:cs="Times New Roman" w:eastAsia="Times New Roman" w:hAnsi="Times New Roman"/>
          <w:sz w:val="18"/>
          <w:szCs w:val="18"/>
          <w:color w:val="231F20"/>
        </w:rPr>
      </w:pPr>
    </w:p>
    <w:p>
      <w:pPr>
        <w:ind w:left="680" w:right="120" w:hanging="328"/>
        <w:spacing w:after="0" w:line="274" w:lineRule="auto"/>
        <w:tabs>
          <w:tab w:leader="none" w:pos="6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need to raise additional funds until the start of the production of the Sion and potentially beyond, which may not be available to us on acceptable terms or at all when we need them.</w:t>
      </w:r>
    </w:p>
    <w:p>
      <w:pPr>
        <w:spacing w:after="0" w:line="16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You should read this prospectus carefully with the understanding that our actual future results may be materially different from and worse than what we expect.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85"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Comparison of results between current and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0" w:lineRule="exact"/>
        <w:rPr>
          <w:sz w:val="20"/>
          <w:szCs w:val="20"/>
          <w:color w:val="auto"/>
        </w:rPr>
      </w:pPr>
    </w:p>
    <w:p>
      <w:pPr>
        <w:ind w:firstLine="318"/>
        <w:spacing w:after="0" w:line="275" w:lineRule="auto"/>
        <w:rPr>
          <w:sz w:val="20"/>
          <w:szCs w:val="20"/>
          <w:color w:val="auto"/>
        </w:rPr>
      </w:pPr>
      <w:r>
        <w:rPr>
          <w:rFonts w:ascii="Times New Roman" w:cs="Times New Roman" w:eastAsia="Times New Roman" w:hAnsi="Times New Roman"/>
          <w:sz w:val="17"/>
          <w:szCs w:val="17"/>
          <w:color w:val="auto"/>
        </w:rPr>
        <w:t>This prospectus relates to the offer and resale of up to 14,138,867 ordinary shares by the Selling Shareholder, which consist of ordinary shares that we may, in our discretion, elect to issue and sell to the Selling Shareholder, from time to time after the Commencement Date, pursuant to the Purchase Agreement, in which the Selling Shareholder has committed, subject to satisfaction of specified conditions, to purchase from us, at our direction, up to $150,000,000 of our ordinary shares, subject to limitations specified in the Purchase Agreement.</w:t>
      </w:r>
    </w:p>
    <w:p>
      <w:pPr>
        <w:spacing w:after="0" w:line="165"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We are not selling any ordinary shares being offered by this prospectus and will not receive any of the proceeds from the sale of such shares by the Selling Shareholder. However, we may receive up to $150,000,000 in aggregate gross proceeds from sales of our ordinary shares to the Selling Shareholder that we may, in our discretion, elect to make, from time to time after the Commencement Date, pursuant to the Purchase Agreement.</w:t>
      </w:r>
    </w:p>
    <w:p>
      <w:pPr>
        <w:spacing w:after="0" w:line="182"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The net proceeds from sales, if any, under the Purchase Agreement, will depend on the frequency and prices at which we sell ordinary shares to the Selling Shareholder after the date of this prospectus. We currently expect that we will need at least €242 million in external funding until the start of production. To the extent we sell ordinary shares to the Selling Shareholder, we intend to use any proceeds therefrom to cover some of the capital needed until the start of production. We will have broad discretion in the way that we use these proceeds.</w:t>
      </w:r>
    </w:p>
    <w:p>
      <w:pPr>
        <w:spacing w:after="0" w:line="182"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Selling Shareholder will pay any underwriting discounts and commissions and expenses incurred by it for brokerage, accounting, tax or legal services or any other expenses incurred by it in disposing of the ordinary shares. We will bear all other costs, fees and expenses incurred in effecting the registration of the ordinary shares covered by this prospectus, including, without limitation, all registration and filing fees and fees and expenses of our counsel and our accountants.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COMMITTED EQUITY FINANCING</w:t>
      </w:r>
    </w:p>
    <w:p>
      <w:pPr>
        <w:spacing w:after="0" w:line="220"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On June 13, 2022, we entered into the Purchase Agreement and the Registration Rights Agreement with the Selling Shareholder. Pursuant to the Purchase Agreement, subject to satisfaction of specified conditions in the Purchase Agreement on and after the Commencement Date, we will have the right to sell to the Selling Shareholder up to $150,000,000 of our ordinary shares, subject to certain limitations and conditions set forth in the Purchase Agreement, from time to time during the term of the Purchase Agreement. Sales of ordinary shares pursuant to the Purchase Agreement, and the timing of any sales, are solely at our option, and we are under no obligation to sell any securities to the Selling Shareholder under the Purchase Agreement. In accordance with our obligations under the Registration Rights Agreement, we have filed the registration statement, of which this prospectus forms part, with the SEC to register under the Securities Act the resale by the Selling Shareholder of up to 14,138,867 ordinary shares, which we may elect, in our sole discretion, to issue and sell to the Selling Shareholder, from time to time from and after the Commencement Date under the Purchase Agreement.</w:t>
      </w:r>
    </w:p>
    <w:p>
      <w:pPr>
        <w:spacing w:after="0" w:line="17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do not have the right to commence any sales of our ordinary shares to the Selling Shareholder under the Purchase Agreement until the Commencement Date, which is the date on which all of the conditions to the Selling Shareholder’s purchase obligation set forth in the Purchase Agreement have been initially satisfied, including that the registration statement that includes this prospectus be declared effective by the SEC and the final form of this prospectus is filed with the SEC. From and after the Commencement Date, we will have the right, but not the obligation, from time to time at our sole discretion over the 24-month period beginning on the Commencement Date, to direct the Selling Shareholder to purchase up to a specified maximum amount of ordinary shares in one or more VWAP Purchases and Intraday VWAP Purchases as set forth in the Purchase Agreement by timely delivering a written VWAP Purchase Notice for each VWAP Purchase, and timely delivering a written Intraday VWAP Purchase Notice for each Intraday VWAP Purchase, if any, to the Selling Shareholder in accordance with the Purchase Agreement on any trading day we select as the Purchase Date therefor, so long as (i) the closing sale price of our ordinary share on the trading day immediately prior to such Purchase Date is not less than the Threshold Price and (ii) all ordinary shares subject to all prior VWAP Purchases and all prior Intraday VWAP Purchases effected by us under the Purchase Agreement to the extent required to be delivered have been received by the Selling Shareholder prior to the time we deliver such notice to the Selling Shareholder.</w:t>
      </w:r>
    </w:p>
    <w:p>
      <w:pPr>
        <w:spacing w:after="0" w:line="191"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From and after the Commencement Date, the Company will control the timing and amount of any sales of ordinary shares to the Selling Shareholder. Actual sales of ordinary shares to the Selling Shareholder under the Purchase Agreement will depend on a variety of factors to be determined by us from time to time, including, among other things, market conditions, the trading price of our ordinary shares and determinations by us as to the appropriate sources of funding for the Company and its operations.</w:t>
      </w:r>
    </w:p>
    <w:p>
      <w:pPr>
        <w:spacing w:after="0" w:line="182" w:lineRule="exact"/>
        <w:rPr>
          <w:sz w:val="20"/>
          <w:szCs w:val="20"/>
          <w:color w:val="auto"/>
        </w:rPr>
      </w:pPr>
    </w:p>
    <w:p>
      <w:pPr>
        <w:ind w:right="40" w:firstLine="318"/>
        <w:spacing w:after="0" w:line="275" w:lineRule="auto"/>
        <w:rPr>
          <w:sz w:val="20"/>
          <w:szCs w:val="20"/>
          <w:color w:val="auto"/>
        </w:rPr>
      </w:pPr>
      <w:r>
        <w:rPr>
          <w:rFonts w:ascii="Times New Roman" w:cs="Times New Roman" w:eastAsia="Times New Roman" w:hAnsi="Times New Roman"/>
          <w:sz w:val="17"/>
          <w:szCs w:val="17"/>
          <w:color w:val="auto"/>
        </w:rPr>
        <w:t>We may not issue or sell any ordinary shares to the Selling Shareholder under the Purchase Agreement which, when aggregated with all other ordinary shares then beneficially owned by the Selling Shareholder and its affiliates (as calculated pursuant to Section 13(d) of the Exchange Act and Rule 13d-3 thereunder), would result in the Selling Shareholder beneficially owning any ordinary shares in excess of the Beneficial Ownership Limitation, which is defined in the Purchase Agreement as 4.99% of the outstanding ordinary shares.</w:t>
      </w:r>
    </w:p>
    <w:p>
      <w:pPr>
        <w:spacing w:after="0" w:line="165"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8"/>
          <w:szCs w:val="18"/>
          <w:color w:val="auto"/>
        </w:rPr>
        <w:t>The net proceeds from sales, if any, under the Purchase Agreement, will depend on the frequency and prices at which we sell ordinary shares to the Selling Shareholder. To the extent we sell shares under the Purchase Agreement, we currently plan to use any proceeds therefrom to cover some of the external funding needed until the start of production.</w:t>
      </w:r>
    </w:p>
    <w:p>
      <w:pPr>
        <w:spacing w:after="0" w:line="176"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8"/>
          <w:szCs w:val="18"/>
          <w:color w:val="auto"/>
        </w:rPr>
        <w:t>Neither we nor the Selling Shareholder may assign or transfer any of our respective rights and obligations under the Purchase Agreement or the Registration Rights Agreement, and no provision of the Purchase Agreement or the Registration Rights Agreement may be modified or waived by the parties.</w:t>
      </w:r>
    </w:p>
    <w:p>
      <w:pPr>
        <w:spacing w:after="0" w:line="176"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We have also agreed to reimburse the Selling Shareholder for certain out-of-pocket expenses in connection with the transactions contemplated by the Purchase Agreement in an amount not to exceed $50,000.</w:t>
      </w:r>
    </w:p>
    <w:p>
      <w:pPr>
        <w:spacing w:after="0" w:line="164" w:lineRule="exact"/>
        <w:rPr>
          <w:sz w:val="20"/>
          <w:szCs w:val="20"/>
          <w:color w:val="auto"/>
        </w:rPr>
      </w:pPr>
    </w:p>
    <w:p>
      <w:pPr>
        <w:ind w:right="240" w:firstLine="318"/>
        <w:spacing w:after="0" w:line="260" w:lineRule="auto"/>
        <w:rPr>
          <w:sz w:val="20"/>
          <w:szCs w:val="20"/>
          <w:color w:val="auto"/>
        </w:rPr>
      </w:pPr>
      <w:r>
        <w:rPr>
          <w:rFonts w:ascii="Times New Roman" w:cs="Times New Roman" w:eastAsia="Times New Roman" w:hAnsi="Times New Roman"/>
          <w:sz w:val="18"/>
          <w:szCs w:val="18"/>
          <w:color w:val="auto"/>
        </w:rPr>
        <w:t>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www.sec.gov.</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Ordinary Shares Under the Purchase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VWAP Purchases</w:t>
      </w:r>
    </w:p>
    <w:p>
      <w:pPr>
        <w:spacing w:after="0" w:line="222"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From and after the Commencement Date, we will have the right, but not the obligation, from time to time at our sole discretion over the 24-month period beginning on the Commencement Date, to direct the Selling Shareholder to purchase a specified number of ordinary shares, not to exceed the applicable Purchase Maximum Amount in a VWAP Purchase under the Purchase Agreement, by timely delivering a Purchase Notice to the Selling Shareholder prior to 6:00 a.m., New York City time, on any trading day we select as the Purchase Date for such VWAP Purchase, so long as:</w:t>
      </w:r>
    </w:p>
    <w:p>
      <w:pPr>
        <w:spacing w:after="0" w:line="182" w:lineRule="exact"/>
        <w:rPr>
          <w:sz w:val="20"/>
          <w:szCs w:val="20"/>
          <w:color w:val="auto"/>
        </w:rPr>
      </w:pPr>
    </w:p>
    <w:p>
      <w:pPr>
        <w:ind w:left="680" w:right="540" w:hanging="328"/>
        <w:spacing w:after="0" w:line="274"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ordinary shares on the trading day immediately prior to such Purchase Date is not less than the Threshold Price (subject to adjustment as set forth in the Purchase Agreement);</w:t>
      </w:r>
    </w:p>
    <w:p>
      <w:pPr>
        <w:spacing w:after="0" w:line="164" w:lineRule="exact"/>
        <w:rPr>
          <w:rFonts w:ascii="Times New Roman" w:cs="Times New Roman" w:eastAsia="Times New Roman" w:hAnsi="Times New Roman"/>
          <w:sz w:val="18"/>
          <w:szCs w:val="18"/>
          <w:color w:val="auto"/>
        </w:rPr>
      </w:pPr>
    </w:p>
    <w:p>
      <w:pPr>
        <w:ind w:left="680" w:right="160" w:hanging="328"/>
        <w:spacing w:after="0" w:line="260"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ordinary shares subject to all prior VWAP Purchases and all prior Intraday VWAP Purchases effected by us under the Purchase Agreement to the extent required to be delivered have been received by the Selling Shareholder in accordance with the Purchase Agreement prior to the time we deliver such Purchase Notice to the Selling Shareholder.</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Purchase Maximum Amount applicable to such VWAP Purchase under the Purchase Agreement will be equal to the lesser of:</w:t>
      </w:r>
    </w:p>
    <w:p>
      <w:pPr>
        <w:spacing w:after="0" w:line="218" w:lineRule="exact"/>
        <w:rPr>
          <w:sz w:val="20"/>
          <w:szCs w:val="20"/>
          <w:color w:val="auto"/>
        </w:rPr>
      </w:pPr>
    </w:p>
    <w:p>
      <w:pPr>
        <w:ind w:left="680" w:hanging="328"/>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applicable Purchase Volume Reference Amount for such VWAP Purchase and</w:t>
      </w:r>
    </w:p>
    <w:p>
      <w:pPr>
        <w:spacing w:after="0" w:line="217" w:lineRule="exact"/>
        <w:rPr>
          <w:rFonts w:ascii="Times New Roman" w:cs="Times New Roman" w:eastAsia="Times New Roman" w:hAnsi="Times New Roman"/>
          <w:sz w:val="18"/>
          <w:szCs w:val="18"/>
          <w:color w:val="auto"/>
        </w:rPr>
      </w:pPr>
    </w:p>
    <w:p>
      <w:pPr>
        <w:ind w:left="680" w:right="220" w:hanging="328"/>
        <w:spacing w:after="0" w:line="274"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total aggregate number (or volume) of ordinary shares traded on Nasdaq during the applicable Purchase Valuation Period for such purchase.</w:t>
      </w:r>
    </w:p>
    <w:p>
      <w:pPr>
        <w:spacing w:after="0" w:line="164" w:lineRule="exact"/>
        <w:rPr>
          <w:sz w:val="20"/>
          <w:szCs w:val="20"/>
          <w:color w:val="auto"/>
        </w:rPr>
      </w:pPr>
    </w:p>
    <w:p>
      <w:pPr>
        <w:ind w:right="240" w:firstLine="318"/>
        <w:spacing w:after="0" w:line="260" w:lineRule="auto"/>
        <w:rPr>
          <w:sz w:val="20"/>
          <w:szCs w:val="20"/>
          <w:color w:val="auto"/>
        </w:rPr>
      </w:pPr>
      <w:r>
        <w:rPr>
          <w:rFonts w:ascii="Times New Roman" w:cs="Times New Roman" w:eastAsia="Times New Roman" w:hAnsi="Times New Roman"/>
          <w:sz w:val="18"/>
          <w:szCs w:val="18"/>
          <w:color w:val="auto"/>
        </w:rPr>
        <w:t>The Purchase Volume Reference Amount for such VWAP Purchase will be a number of shares equal to the average daily trading volume (or number) of ordinary shares traded on Nasdaq for the 10 consecutive trading day period ending on (and including) the trading day immediately preceding the applicable Purchase Date for such VWAP Purchase.</w:t>
      </w:r>
    </w:p>
    <w:p>
      <w:pPr>
        <w:spacing w:after="0" w:line="17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actual number of ordinary shares that the Selling Shareholder will be required to purchase in a VWAP Purchase, which we refer to as the Purchase Share Amount, will be equal to the number of shares that we specify in the applicable Purchase Notice, subject to adjustment to the extent necessary to give effect to the applicable Purchase Maximum Amount and other applicable limitations set forth in the Purchase Agreement, including the Beneficial Ownership Limitation.</w:t>
      </w:r>
    </w:p>
    <w:p>
      <w:pPr>
        <w:spacing w:after="0" w:line="18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per share purchase price that the Selling Shareholder will be required to pay for the Purchase Share Amount in a VWAP Purchase effected by us pursuant to the Purchase Agreement, if any, will be equal to the VWAP of our ordinary shares for the applicable Purchase Valuation Period on the Purchase Date for such VWAP Purchase, less a fixed 2.0% discount to the VWAP for such Purchase Valuation Period. The Purchase Valuation Period for a VWAP Purchase is defined in the Purchase Agreement as the period beginning at the official open (or “commencement”) of the regular trading session on Nasdaq on the applicable Purchase Date for such VWAP Purchase, and ending at the earliest to occur of:</w:t>
      </w:r>
    </w:p>
    <w:p>
      <w:pPr>
        <w:spacing w:after="0" w:line="187" w:lineRule="exact"/>
        <w:rPr>
          <w:sz w:val="20"/>
          <w:szCs w:val="20"/>
          <w:color w:val="auto"/>
        </w:rPr>
      </w:pPr>
    </w:p>
    <w:p>
      <w:pPr>
        <w:ind w:left="680" w:hanging="328"/>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official close of the regular trading session on Nasdaq on such Purchase Date,</w:t>
      </w:r>
    </w:p>
    <w:p>
      <w:pPr>
        <w:spacing w:after="0" w:line="217" w:lineRule="exact"/>
        <w:rPr>
          <w:rFonts w:ascii="Times New Roman" w:cs="Times New Roman" w:eastAsia="Times New Roman" w:hAnsi="Times New Roman"/>
          <w:sz w:val="18"/>
          <w:szCs w:val="18"/>
          <w:color w:val="auto"/>
        </w:rPr>
      </w:pPr>
    </w:p>
    <w:p>
      <w:pPr>
        <w:ind w:left="680" w:right="20" w:hanging="328"/>
        <w:spacing w:after="0" w:line="260"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total aggregate number (or volume) of our ordinary shares traded on Nasdaq during such Purchase Valuation Period reaches the applicable Purchase Volume Maximum for such VWAP Purchase, which will be determined by dividing (a) the applicable Purchase Share Amount for such VWAP Purchase by (b) 0.20, or</w:t>
      </w:r>
    </w:p>
    <w:p>
      <w:pPr>
        <w:spacing w:after="0" w:line="176" w:lineRule="exact"/>
        <w:rPr>
          <w:rFonts w:ascii="Times New Roman" w:cs="Times New Roman" w:eastAsia="Times New Roman" w:hAnsi="Times New Roman"/>
          <w:sz w:val="18"/>
          <w:szCs w:val="18"/>
          <w:color w:val="auto"/>
        </w:rPr>
      </w:pPr>
    </w:p>
    <w:p>
      <w:pPr>
        <w:ind w:left="680" w:right="40" w:hanging="328"/>
        <w:spacing w:after="0" w:line="255"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trading price of a share of our ordinary shares on Nasdaq during such Purchase Valuation Period falls below the applicable Minimum Price Threshold for such purchase specified by us in the Purchase Notice for such VWAP Purchase, or if we do not specify a Minimum Price Threshold in such Purchase Notice, a price equal to 75.0% of the closing sale price of the ordinary shares on the trading day immediately prior to the applicable Purchase Date for such VWAP Purchase.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Intraday VWAP Purchases</w:t>
      </w:r>
    </w:p>
    <w:p>
      <w:pPr>
        <w:spacing w:after="0" w:line="222"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In addition to the regular VWAP Purchases described above, after the Commencement Date, we will also have the right, but not the obligation, subject to the continued satisfaction of the conditions set forth in the Purchase Agreement, to direct the Selling Shareholder to purchase, on any trading day we select as the Purchase Date therefor (including the same Purchase Date on which an earlier regular VWAP Purchase was effected by us (as applicable), although we are not required to effect an earlier regular VWAP Purchase on such Purchase Date in order to effect an Intraday VWAP Purchase on such Purchase Date), a specified number of our ordinary shares, not to exceed the applicable Intraday Purchase Volume Maximum in an Intraday VWAP Purchase under the Purchase Agreement, by timely delivering a written Intraday VWAP Purchase Notice to the Selling Shareholder after 10:00 a.m., New York City time (and after the Purchase Valuation Period for any prior regular VWAP Purchase (if any) and the Intraday VWAP Purchase Valuation Period(s) for the most recent prior Intraday VWAP Purchase effected on the same Purchase Date (if any) have ended), and prior to the earlier of (i) 2:00 p.m., New York City time, and (ii) one hour prior to the official close of trading session on Nasdaq on such Purchase Date, so long as:</w:t>
      </w:r>
    </w:p>
    <w:p>
      <w:pPr>
        <w:spacing w:after="0" w:line="187" w:lineRule="exact"/>
        <w:rPr>
          <w:sz w:val="20"/>
          <w:szCs w:val="20"/>
          <w:color w:val="auto"/>
        </w:rPr>
      </w:pPr>
    </w:p>
    <w:p>
      <w:pPr>
        <w:ind w:left="680" w:right="560" w:hanging="328"/>
        <w:spacing w:after="0" w:line="274"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ordinary shares on the trading day immediately prior to such Purchase Date is not less than the Threshold Price, and</w:t>
      </w:r>
    </w:p>
    <w:p>
      <w:pPr>
        <w:spacing w:after="0" w:line="164" w:lineRule="exact"/>
        <w:rPr>
          <w:rFonts w:ascii="Times New Roman" w:cs="Times New Roman" w:eastAsia="Times New Roman" w:hAnsi="Times New Roman"/>
          <w:sz w:val="18"/>
          <w:szCs w:val="18"/>
          <w:color w:val="auto"/>
        </w:rPr>
      </w:pPr>
    </w:p>
    <w:p>
      <w:pPr>
        <w:ind w:left="680" w:right="260" w:hanging="328"/>
        <w:spacing w:after="0" w:line="260"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ordinary shares subject to all prior VWAP Purchases and all prior Intraday VWAP Purchases effected by us under the Purchase Agreement to the extent required to be delivered have been received by the Selling Shareholder prior to the time we deliver such Intraday VWAP Purchase Notice to the Selling Shareholder.</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Intraday Purchase Volume Maximum applicable to such Intraday VWAP Purchase will be equal to the lesser of:</w:t>
      </w:r>
    </w:p>
    <w:p>
      <w:pPr>
        <w:spacing w:after="0" w:line="218" w:lineRule="exact"/>
        <w:rPr>
          <w:sz w:val="20"/>
          <w:szCs w:val="20"/>
          <w:color w:val="auto"/>
        </w:rPr>
      </w:pPr>
    </w:p>
    <w:p>
      <w:pPr>
        <w:ind w:left="680" w:right="440" w:hanging="328"/>
        <w:spacing w:after="0" w:line="274"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same Purchase Volume Reference Amount applicable to a regular VWAP Purchase effected earlier on the same Purchase Date (if any), and</w:t>
      </w:r>
    </w:p>
    <w:p>
      <w:pPr>
        <w:spacing w:after="0" w:line="164" w:lineRule="exact"/>
        <w:rPr>
          <w:rFonts w:ascii="Times New Roman" w:cs="Times New Roman" w:eastAsia="Times New Roman" w:hAnsi="Times New Roman"/>
          <w:sz w:val="18"/>
          <w:szCs w:val="18"/>
          <w:color w:val="auto"/>
        </w:rPr>
      </w:pPr>
    </w:p>
    <w:p>
      <w:pPr>
        <w:ind w:left="680" w:right="40" w:hanging="328"/>
        <w:spacing w:after="0" w:line="274"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total aggregate number (or volume) of our ordinary shares traded on Nasdaq during the applicable Intraday Purchase Valuation Period for such Intraday VWAP Purchase.</w:t>
      </w:r>
    </w:p>
    <w:p>
      <w:pPr>
        <w:spacing w:after="0" w:line="164"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The actual number of ordinary shares that the Selling Shareholder will be required to purchase in an Intraday VWAP Purchase, which we refer to as the Intraday Purchase Share Amount, will be equal to the number of shares that we specify in the applicable Intraday Purchase Notice, subject to adjustment to the extent necessary to give effect to the applicable Intraday Purchase Maximum Amount and other applicable limitations set forth in the Purchase Agreement, including the Beneficial Ownership Limitation.</w:t>
      </w:r>
    </w:p>
    <w:p>
      <w:pPr>
        <w:spacing w:after="0" w:line="18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per share purchase price that the Selling Shareholder will be required to pay for the Intraday Purchase Share Amount in an Intraday VWAP Purchase effected by us pursuant to the Purchase Agreement, if any, will be calculated in the same manner as in the case of a regular VWAP Purchase, except that the VWAP used to determine the purchase price for the Intraday Purchase Share Amount to be purchased in an Intraday VWAP Purchase will be equal to the VWAP for the applicable Intraday Purchase Valuation Period on the Purchase Date for such Intraday VWAP Purchase, less a fixed 2.0% discount to the VWAP for such Intraday Purchase Valuation Period. The Intraday Purchase Valuation Period for an Intraday Purchase is defined in the Purchase Agreement as the period during the regular trading session on Nasdaq on such Purchase Date, beginning at the time of the latest to occur of:</w:t>
      </w:r>
    </w:p>
    <w:p>
      <w:pPr>
        <w:spacing w:after="0" w:line="189" w:lineRule="exact"/>
        <w:rPr>
          <w:sz w:val="20"/>
          <w:szCs w:val="20"/>
          <w:color w:val="auto"/>
        </w:rPr>
      </w:pPr>
    </w:p>
    <w:p>
      <w:pPr>
        <w:ind w:left="680" w:hanging="328"/>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applicable Intraday VWAP Purchase Notice is timely received by the Selling Shareholder,</w:t>
      </w:r>
    </w:p>
    <w:p>
      <w:pPr>
        <w:spacing w:after="0" w:line="217" w:lineRule="exact"/>
        <w:rPr>
          <w:rFonts w:ascii="Times New Roman" w:cs="Times New Roman" w:eastAsia="Times New Roman" w:hAnsi="Times New Roman"/>
          <w:sz w:val="18"/>
          <w:szCs w:val="18"/>
          <w:color w:val="auto"/>
        </w:rPr>
      </w:pPr>
    </w:p>
    <w:p>
      <w:pPr>
        <w:ind w:left="680" w:right="240" w:hanging="328"/>
        <w:spacing w:after="0" w:line="274"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Purchase Valuation Period for any prior regular VWAP Purchase effected on the same Purchase Date (if any) has ended, and</w:t>
      </w:r>
    </w:p>
    <w:p>
      <w:pPr>
        <w:spacing w:after="0" w:line="164" w:lineRule="exact"/>
        <w:rPr>
          <w:rFonts w:ascii="Times New Roman" w:cs="Times New Roman" w:eastAsia="Times New Roman" w:hAnsi="Times New Roman"/>
          <w:sz w:val="18"/>
          <w:szCs w:val="18"/>
          <w:color w:val="auto"/>
        </w:rPr>
      </w:pPr>
    </w:p>
    <w:p>
      <w:pPr>
        <w:ind w:left="680" w:right="200" w:hanging="328"/>
        <w:spacing w:after="0" w:line="274"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Intraday VWAP Purchase Valuation Period for the most recent prior Intraday VWAP Purchase effected on the same Purchase Date (if any) has ended,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ending at the earliest to occur of:</w:t>
      </w:r>
    </w:p>
    <w:p>
      <w:pPr>
        <w:spacing w:after="0" w:line="218" w:lineRule="exact"/>
        <w:rPr>
          <w:sz w:val="20"/>
          <w:szCs w:val="20"/>
          <w:color w:val="auto"/>
        </w:rPr>
      </w:pPr>
    </w:p>
    <w:p>
      <w:pPr>
        <w:ind w:left="4880" w:right="3480" w:hanging="4528"/>
        <w:spacing w:after="0" w:line="766" w:lineRule="auto"/>
        <w:tabs>
          <w:tab w:leader="none" w:pos="6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official close of the regular trading session on Nasdaq on such Purchase Date,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240" w:hanging="328"/>
        <w:spacing w:after="0" w:line="282"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time that the total aggregate number (or volume) of our ordinary shares traded on Nasdaq during such Intraday Purchase Valuation Period reaches the applicable Intraday Purchase Volume Maximum for such Intraday VWAP Purchase, which will be determined by dividing (a) the applicable Intraday Purchase Share Amount for such Intraday VWAP Purchase by (b) 0.20, and</w:t>
      </w:r>
    </w:p>
    <w:p>
      <w:pPr>
        <w:spacing w:after="0" w:line="159" w:lineRule="exact"/>
        <w:rPr>
          <w:rFonts w:ascii="Times New Roman" w:cs="Times New Roman" w:eastAsia="Times New Roman" w:hAnsi="Times New Roman"/>
          <w:sz w:val="17"/>
          <w:szCs w:val="17"/>
          <w:color w:val="auto"/>
        </w:rPr>
      </w:pPr>
    </w:p>
    <w:p>
      <w:pPr>
        <w:ind w:left="680" w:right="160" w:hanging="328"/>
        <w:spacing w:after="0" w:line="253"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trading price of a share of our ordinary shares on Nasdaq during such Intraday Purchase Valuation Period falls below the applicable Intraday Minimum Price Threshold for such Intraday VWAP Purchase specified by us in the Intraday Purchase Notice for such Intraday VWAP Purchase, or if we do not specify an Intraday Minimum Price Threshold in such Intraday Purchase Notice, a price equal to 75.0% of the closing sale price of the ordinary share on the trading day immediately prior to the applicable Purchase Date for such Intraday VWAP Purchase.</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may, in our sole discretion, timely deliver multiple Intraday VWAP Purchase Notices to the Selling Shareholder prior to 2:00 p.m.,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City time, on a single Purchase Date to effect multiple Intraday VWAP Purchases on such same Purchase Date, provided that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Valuation Period for any earlier regular VWAP Purchase effected on the same Purchase Date (as applicable) and the Intraday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Valuation Period for the most recent prior Intraday VWAP Purchase effected on the same Purchase Date have ended prior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p.m., New York City time, on such Purchase Date, and so long as all ordinary shares subject to all prior VWAP Purchases and all prior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Intraday VWAP Purchases effected by us under the Purchase Agreement, including those effected earlier on the same Purchase Date (as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to the extent required to be delivered have been received by the Selling Shareholder prior to the time we deliver to the Selling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a new Intraday Purchase Notice to effect an additional Intraday VWAP Purchase on the same Purchase Date as an earlier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VWAP Purchase (as applicable) and one or more earlier Intraday VWAP Purchases effected on such same Purchase Date.</w:t>
      </w:r>
    </w:p>
    <w:p>
      <w:pPr>
        <w:spacing w:after="0" w:line="19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terms and limitations that will apply to each subsequent additional Intraday VWAP Purchase effected on the same Purchase Date will be the same as those applicable to any earlier regular VWAP Purchase (as applicable) and any earlier Intraday VWAP Purchase effected on the same Purchase Date as such subsequent additional Intraday VWAP Purchase, and the per share purchase price for the ordinary shares that we elect to sell to the Selling Shareholder in each subsequent additional Intraday VWAP Purchase effected on the same Purchase Date as an earlier regular VWAP Purchase (as applicable) and/or earlier Intraday VWAP Purchase(s) effected on such Purchase Date will be calculated in the same manner as in the case of such earlier regular VWAP Purchase (as applicable) and such earlier Intraday VWAP Purchase(s) effected on the same Purchase Date as such subsequent additional Intraday VWAP Purchase, with the exception that the Intraday VWAP Purchase Valuation Period(s) for each subsequent additional Intraday VWAP Purchase will begin and end at different times (and may vary in duration) during the regular trading session on such Purchase Date, in each case as determined in accordance with the Purchase Agreement.</w:t>
      </w:r>
    </w:p>
    <w:p>
      <w:pPr>
        <w:spacing w:after="0" w:line="18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 the case of the VWAP Purchases and Intraday VWAP Purchases effected by us under the Purchase Agreement, if any, all share and dollar amounts used in determining the purchase price per ordinary share to be purchased by the Selling Shareholder in a VWAP Purchase or an Intraday VWAP Purchase (as applicable), or in determining the applicable maximum purchase share amounts or applicable volume or price threshold amounts in connection with any such VWAP Purchase or Intraday VWAP Purchase (as applicable), in each case, will be equitably adjusted for any reorganization, recapitalization, non-cash dividend, share split, reverse share split or other similar transaction occurring during any period used to calculate such per share purchase price, maximum purchase share amounts or applicable volume or price threshold amounts.</w:t>
      </w:r>
    </w:p>
    <w:p>
      <w:pPr>
        <w:spacing w:after="0" w:line="189"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At or prior to 5:30 p.m., New York City time, on the applicable Purchase Date for a VWAP Purchase and/or an Intraday VWAP Purchase, the Selling Shareholder will provide us with a written confirmation for such VWAP Purchase and/or Intraday VWAP Purchase, as applicable, setting forth the applicable purchase price (both on a per share basis and the total aggregate purchase price) to be paid by the Selling Shareholder for the ordinary shares purchased by the Selling Shareholder in such VWAP Purchase and/or Intraday VWAP Purchase, as applicable.</w:t>
      </w:r>
    </w:p>
    <w:p>
      <w:pPr>
        <w:spacing w:after="0" w:line="182"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The payment for, against delivery of, ordinary shares purchased by the Selling Shareholder in any VWAP Purchase or any Intraday VWAP Purchase under the Purchase Agreement will be fully settled on the trading day immediately following the applicable Purchase Date for such VWAP Purchase or such Intraday VWAP Purchase (as applicable), as set forth in the Purchase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Precedent to Commencement and Each VWAP Purchase</w:t>
      </w:r>
    </w:p>
    <w:p>
      <w:pPr>
        <w:spacing w:after="0" w:line="220" w:lineRule="exact"/>
        <w:rPr>
          <w:sz w:val="20"/>
          <w:szCs w:val="20"/>
          <w:color w:val="auto"/>
        </w:rPr>
      </w:pPr>
    </w:p>
    <w:p>
      <w:pPr>
        <w:jc w:val="both"/>
        <w:ind w:right="80" w:firstLine="318"/>
        <w:spacing w:after="0" w:line="260" w:lineRule="auto"/>
        <w:rPr>
          <w:sz w:val="20"/>
          <w:szCs w:val="20"/>
          <w:color w:val="auto"/>
        </w:rPr>
      </w:pPr>
      <w:r>
        <w:rPr>
          <w:rFonts w:ascii="Times New Roman" w:cs="Times New Roman" w:eastAsia="Times New Roman" w:hAnsi="Times New Roman"/>
          <w:sz w:val="18"/>
          <w:szCs w:val="18"/>
          <w:color w:val="auto"/>
        </w:rPr>
        <w:t>The Selling Shareholder’s obligation to accept Purchase Notices and Intraday VWAP Purchase Notices that are timely delivered by us under the Purchase Agreement and to purchase our ordinary shares in VWAP Purchases and Intraday VWAP Purchases under the Purchase Agreement, are subject to (i) the initial satisfaction, at the Commencement, and (ii) the satisfaction, at the applicable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“VWAP Purchase Commencement Time” or “Intraday VWAP Purchase Commencement Time” (as such terms are defined in the Purchase Agreement) on the applicable Purchase Date or Intraday VWAP Purchase Date for each Purchase or Intraday VWAP Purchase, respectively, after the Commencement Date, of the conditions precedent thereto set forth in the Purchase Agreement, all of which are entirely outside of the Selling Shareholder’s control, which conditions include the following:</w:t>
      </w:r>
    </w:p>
    <w:p>
      <w:pPr>
        <w:spacing w:after="0" w:line="182" w:lineRule="exact"/>
        <w:rPr>
          <w:sz w:val="20"/>
          <w:szCs w:val="20"/>
          <w:color w:val="auto"/>
        </w:rPr>
      </w:pPr>
    </w:p>
    <w:p>
      <w:pPr>
        <w:ind w:left="680" w:hanging="328"/>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Company included in the Purchase Agreement;</w:t>
      </w:r>
    </w:p>
    <w:p>
      <w:pPr>
        <w:spacing w:after="0" w:line="217" w:lineRule="exact"/>
        <w:rPr>
          <w:rFonts w:ascii="Times New Roman" w:cs="Times New Roman" w:eastAsia="Times New Roman" w:hAnsi="Times New Roman"/>
          <w:sz w:val="18"/>
          <w:szCs w:val="18"/>
          <w:color w:val="auto"/>
        </w:rPr>
      </w:pPr>
    </w:p>
    <w:p>
      <w:pPr>
        <w:ind w:left="680" w:right="380" w:hanging="328"/>
        <w:spacing w:after="0" w:line="274"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performed, satisfied and complied in all material respects with all covenants, agreements and conditions required by the Purchase Agreement to be performed, satisfied or complied with by the Company;</w:t>
      </w:r>
    </w:p>
    <w:p>
      <w:pPr>
        <w:spacing w:after="0" w:line="164" w:lineRule="exact"/>
        <w:rPr>
          <w:rFonts w:ascii="Times New Roman" w:cs="Times New Roman" w:eastAsia="Times New Roman" w:hAnsi="Times New Roman"/>
          <w:sz w:val="18"/>
          <w:szCs w:val="18"/>
          <w:color w:val="auto"/>
        </w:rPr>
      </w:pPr>
    </w:p>
    <w:p>
      <w:pPr>
        <w:ind w:left="680" w:right="40" w:hanging="328"/>
        <w:spacing w:after="0" w:line="251"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that includes this prospectus (and any one or more additional registration statements filed with the SEC that include ordinary shares that may be issued and sold by the Company to the Selling Shareholder under the Purchase Agreement) having been declared effective under the Securities Act by the SEC, and the Selling Shareholder being able to utilize this prospectus (and the prospectus included in any one or more additional registration statements filed with the SEC under the Registration Rights Agreement) to resell all of the ordinary shares included in this prospectus (and included in any such additional prospectuses);</w:t>
      </w:r>
    </w:p>
    <w:p>
      <w:pPr>
        <w:spacing w:after="0" w:line="186" w:lineRule="exact"/>
        <w:rPr>
          <w:rFonts w:ascii="Times New Roman" w:cs="Times New Roman" w:eastAsia="Times New Roman" w:hAnsi="Times New Roman"/>
          <w:sz w:val="18"/>
          <w:szCs w:val="18"/>
          <w:color w:val="auto"/>
        </w:rPr>
      </w:pPr>
    </w:p>
    <w:p>
      <w:pPr>
        <w:ind w:left="680" w:hanging="328"/>
        <w:spacing w:after="0" w:line="251"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shall not have issued any stop order suspending the effectiveness of the registration statement that includes this prospectus (or any one or more additional registration statements filed with the SEC that include ordinary shares that may be issued and sold by the Company to the Selling Shareholder under the Purchase Agreement) or prohibiting or suspending the use of this prospectus (or the prospectus included in any one or more additional registration statements filed with the SEC under the Registration Rights Agreement), and the absence of any suspension of qualification or exemption from qualification of the ordinary shares for offering or sale in any jurisdiction;</w:t>
      </w:r>
    </w:p>
    <w:p>
      <w:pPr>
        <w:spacing w:after="0" w:line="186" w:lineRule="exact"/>
        <w:rPr>
          <w:rFonts w:ascii="Times New Roman" w:cs="Times New Roman" w:eastAsia="Times New Roman" w:hAnsi="Times New Roman"/>
          <w:sz w:val="18"/>
          <w:szCs w:val="18"/>
          <w:color w:val="auto"/>
        </w:rPr>
      </w:pPr>
    </w:p>
    <w:p>
      <w:pPr>
        <w:ind w:left="680" w:right="60" w:hanging="328"/>
        <w:spacing w:after="0" w:line="250"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ordinary shares that may be issued and sold by the Company to the Selling Shareholder under the Purchase Agreement) untrue or which requires the making of any additions to or changes to the statements contained 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w:t>
      </w:r>
    </w:p>
    <w:p>
      <w:pPr>
        <w:spacing w:after="0" w:line="185" w:lineRule="exact"/>
        <w:rPr>
          <w:rFonts w:ascii="Times New Roman" w:cs="Times New Roman" w:eastAsia="Times New Roman" w:hAnsi="Times New Roman"/>
          <w:sz w:val="18"/>
          <w:szCs w:val="18"/>
          <w:color w:val="auto"/>
        </w:rPr>
      </w:pPr>
    </w:p>
    <w:p>
      <w:pPr>
        <w:ind w:left="680" w:right="180" w:hanging="328"/>
        <w:spacing w:after="0" w:line="260"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in final form, shall have been filed with the SEC under the Securities Act prior to the Commencement Date, and all reports, schedules, registrations, forms, statements, information and other documents required to have been filed by the Company with the SEC pursuant to the reporting requirements of the Exchange Act shall have been filed with the SEC;</w:t>
      </w:r>
    </w:p>
    <w:p>
      <w:pPr>
        <w:spacing w:after="0" w:line="176" w:lineRule="exact"/>
        <w:rPr>
          <w:rFonts w:ascii="Times New Roman" w:cs="Times New Roman" w:eastAsia="Times New Roman" w:hAnsi="Times New Roman"/>
          <w:sz w:val="18"/>
          <w:szCs w:val="18"/>
          <w:color w:val="auto"/>
        </w:rPr>
      </w:pPr>
    </w:p>
    <w:p>
      <w:pPr>
        <w:ind w:left="680" w:right="100" w:hanging="328"/>
        <w:spacing w:after="0" w:line="267" w:lineRule="auto"/>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the ordinary shares shall not have been suspended by the SEC or Nasdaq (or, if the ordinary shares are then listed or quoted on any other Eligible Market, as such term is defined in the Purchase Agreement, trading in the ordinary shares shall not have been suspended by such Eligible Market), the Company shall not have received any final and non-appealable notice that the listing or quotation of the ordinary shares on the Nasdaq (or Eligible Market, as applicable) shall be terminated on a date certain (unless, prior to such date, the ordinary shares are listed or quoted on any other Eligible Market, as such term is defined in the Purchase Agreement), and there shall be no suspension of, or restriction on, accepting additional deposits of the ordinary shares, electronic trading or book-entry services by The Depository Trust Company (the “DTC”) with respect to the ordinary shares;</w:t>
      </w:r>
    </w:p>
    <w:p>
      <w:pPr>
        <w:spacing w:after="0" w:line="175" w:lineRule="exact"/>
        <w:rPr>
          <w:rFonts w:ascii="Times New Roman" w:cs="Times New Roman" w:eastAsia="Times New Roman" w:hAnsi="Times New Roman"/>
          <w:sz w:val="17"/>
          <w:szCs w:val="17"/>
          <w:color w:val="auto"/>
        </w:rPr>
      </w:pPr>
    </w:p>
    <w:p>
      <w:pPr>
        <w:ind w:left="680" w:right="420" w:hanging="328"/>
        <w:spacing w:after="0" w:line="260"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spacing w:after="0" w:line="176" w:lineRule="exact"/>
        <w:rPr>
          <w:rFonts w:ascii="Times New Roman" w:cs="Times New Roman" w:eastAsia="Times New Roman" w:hAnsi="Times New Roman"/>
          <w:sz w:val="18"/>
          <w:szCs w:val="18"/>
          <w:color w:val="auto"/>
        </w:rPr>
      </w:pPr>
    </w:p>
    <w:p>
      <w:pPr>
        <w:ind w:left="680" w:right="320" w:hanging="328"/>
        <w:spacing w:after="0" w:line="260"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with such transactions;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20" w:hanging="328"/>
        <w:spacing w:after="0" w:line="304" w:lineRule="auto"/>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ordinary shares that may be issued pursuant to the Purchase Agreement shall have been approved for listing or quotation on Nasdaq (or if the ordinary shares are not then listed on Nasdaq, on any Eligible Market), subject only to notice of issuance;</w:t>
      </w:r>
    </w:p>
    <w:p>
      <w:pPr>
        <w:spacing w:after="0" w:line="141" w:lineRule="exact"/>
        <w:rPr>
          <w:rFonts w:ascii="Times New Roman" w:cs="Times New Roman" w:eastAsia="Times New Roman" w:hAnsi="Times New Roman"/>
          <w:sz w:val="17"/>
          <w:szCs w:val="17"/>
          <w:color w:val="auto"/>
        </w:rPr>
      </w:pPr>
    </w:p>
    <w:p>
      <w:pPr>
        <w:ind w:left="680" w:right="260" w:hanging="328"/>
        <w:spacing w:after="0" w:line="274"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such term is defined in the Purchase Agreement) shall have occurred and be continuing;</w:t>
      </w:r>
    </w:p>
    <w:p>
      <w:pPr>
        <w:spacing w:after="0" w:line="164" w:lineRule="exact"/>
        <w:rPr>
          <w:rFonts w:ascii="Times New Roman" w:cs="Times New Roman" w:eastAsia="Times New Roman" w:hAnsi="Times New Roman"/>
          <w:sz w:val="18"/>
          <w:szCs w:val="18"/>
          <w:color w:val="auto"/>
        </w:rPr>
      </w:pPr>
    </w:p>
    <w:p>
      <w:pPr>
        <w:ind w:left="680" w:right="140" w:hanging="328"/>
        <w:spacing w:after="0" w:line="255"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bankruptcy proceeding against the Company commenced by a third party, and the Company shall not have commenced a voluntary bankruptcy proceeding, consented to the entry of an order for relief against it in an involuntary bankruptcy case, consented to the appointment of a custodian of the Company or for all or substantially all of its property in any bankruptcy proceeding, or made a general assignment for the benefit of its creditors;</w:t>
      </w:r>
    </w:p>
    <w:p>
      <w:pPr>
        <w:spacing w:after="0" w:line="181" w:lineRule="exact"/>
        <w:rPr>
          <w:rFonts w:ascii="Times New Roman" w:cs="Times New Roman" w:eastAsia="Times New Roman" w:hAnsi="Times New Roman"/>
          <w:sz w:val="18"/>
          <w:szCs w:val="18"/>
          <w:color w:val="auto"/>
        </w:rPr>
      </w:pPr>
    </w:p>
    <w:p>
      <w:pPr>
        <w:ind w:left="680" w:right="80" w:hanging="328"/>
        <w:spacing w:after="0" w:line="274"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authorization of unissued share capital to allow for issuance as of the Commencement Date of at least 14,138,867 ordinary shares for the purpose of effecting VWAP Purchases; and</w:t>
      </w:r>
    </w:p>
    <w:p>
      <w:pPr>
        <w:spacing w:after="0" w:line="164" w:lineRule="exact"/>
        <w:rPr>
          <w:rFonts w:ascii="Times New Roman" w:cs="Times New Roman" w:eastAsia="Times New Roman" w:hAnsi="Times New Roman"/>
          <w:sz w:val="18"/>
          <w:szCs w:val="18"/>
          <w:color w:val="auto"/>
        </w:rPr>
      </w:pPr>
    </w:p>
    <w:p>
      <w:pPr>
        <w:ind w:left="680" w:right="80" w:hanging="328"/>
        <w:spacing w:after="0" w:line="274"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Selling Shareholder of the legal opinions, negative assurances and bring-down legal opinions as required under the Purchase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220"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Unless earlier terminated as provided in the Purchase Agreement, the Purchase Agreement will terminate automatically on the earliest to occur of:</w:t>
      </w:r>
    </w:p>
    <w:p>
      <w:pPr>
        <w:spacing w:after="0" w:line="164" w:lineRule="exact"/>
        <w:rPr>
          <w:sz w:val="20"/>
          <w:szCs w:val="20"/>
          <w:color w:val="auto"/>
        </w:rPr>
      </w:pPr>
    </w:p>
    <w:p>
      <w:pPr>
        <w:ind w:left="680" w:hanging="328"/>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24-month anniversary of the Commencement Date;</w:t>
      </w:r>
    </w:p>
    <w:p>
      <w:pPr>
        <w:spacing w:after="0" w:line="217" w:lineRule="exact"/>
        <w:rPr>
          <w:rFonts w:ascii="Times New Roman" w:cs="Times New Roman" w:eastAsia="Times New Roman" w:hAnsi="Times New Roman"/>
          <w:sz w:val="18"/>
          <w:szCs w:val="18"/>
          <w:color w:val="auto"/>
        </w:rPr>
      </w:pPr>
    </w:p>
    <w:p>
      <w:pPr>
        <w:ind w:left="680" w:right="200" w:hanging="328"/>
        <w:spacing w:after="0" w:line="274"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Selling Shareholder shall have purchased ordinary shares under the Purchase Agreement for an aggregate gross purchase price equal to $150,000,000;</w:t>
      </w:r>
    </w:p>
    <w:p>
      <w:pPr>
        <w:spacing w:after="0" w:line="164"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ordinary shares shall have failed to be listed or quoted on Nasdaq or any other Eligible Market;</w:t>
      </w:r>
    </w:p>
    <w:p>
      <w:pPr>
        <w:spacing w:after="0" w:line="217" w:lineRule="exact"/>
        <w:rPr>
          <w:rFonts w:ascii="Times New Roman" w:cs="Times New Roman" w:eastAsia="Times New Roman" w:hAnsi="Times New Roman"/>
          <w:sz w:val="18"/>
          <w:szCs w:val="18"/>
          <w:color w:val="auto"/>
        </w:rPr>
      </w:pPr>
    </w:p>
    <w:p>
      <w:pPr>
        <w:ind w:left="680" w:right="80" w:hanging="328"/>
        <w:spacing w:after="0" w:line="274"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30th trading day after the date on which a voluntary or involuntary bankruptcy proceeding involving us has been commenced that is not discharged or dismissed prior to such trading day; and</w:t>
      </w:r>
    </w:p>
    <w:p>
      <w:pPr>
        <w:spacing w:after="0" w:line="164" w:lineRule="exact"/>
        <w:rPr>
          <w:rFonts w:ascii="Times New Roman" w:cs="Times New Roman" w:eastAsia="Times New Roman" w:hAnsi="Times New Roman"/>
          <w:sz w:val="18"/>
          <w:szCs w:val="18"/>
          <w:color w:val="auto"/>
        </w:rPr>
      </w:pPr>
    </w:p>
    <w:p>
      <w:pPr>
        <w:ind w:left="680" w:right="40" w:hanging="328"/>
        <w:spacing w:after="0" w:line="274"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bankruptcy custodian is appointed for all or substantially all of our property or we make a general assignment for the benefit of creditors.</w:t>
      </w:r>
    </w:p>
    <w:p>
      <w:pPr>
        <w:spacing w:after="0" w:line="164" w:lineRule="exact"/>
        <w:rPr>
          <w:sz w:val="20"/>
          <w:szCs w:val="20"/>
          <w:color w:val="auto"/>
        </w:rPr>
      </w:pPr>
    </w:p>
    <w:p>
      <w:pPr>
        <w:ind w:right="100" w:firstLine="318"/>
        <w:spacing w:after="0" w:line="260"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Commencement Date, at no cost or penalty, upon ten trading days’ prior written notice to the Selling Shareholder. We and the Selling Shareholder may also terminate the Purchase Agreement at any time by mutual written consent.</w:t>
      </w:r>
    </w:p>
    <w:p>
      <w:pPr>
        <w:spacing w:after="0" w:line="176"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Selling Shareholder also has the right to terminate the Purchase Agreement upon ten trading days’ prior written notice to us, but only upon the occurrence of certain events, including:</w:t>
      </w:r>
    </w:p>
    <w:p>
      <w:pPr>
        <w:spacing w:after="0" w:line="164" w:lineRule="exact"/>
        <w:rPr>
          <w:sz w:val="20"/>
          <w:szCs w:val="20"/>
          <w:color w:val="auto"/>
        </w:rPr>
      </w:pPr>
    </w:p>
    <w:p>
      <w:pPr>
        <w:ind w:left="680" w:hanging="328"/>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 (as such term is defined in the Purchase Agreement);</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Fundamental Transaction (as such term defined in the Purchase Agreement) involving our Company;</w:t>
      </w:r>
    </w:p>
    <w:p>
      <w:pPr>
        <w:spacing w:after="0" w:line="217" w:lineRule="exact"/>
        <w:rPr>
          <w:rFonts w:ascii="Times New Roman" w:cs="Times New Roman" w:eastAsia="Times New Roman" w:hAnsi="Times New Roman"/>
          <w:sz w:val="18"/>
          <w:szCs w:val="18"/>
          <w:color w:val="auto"/>
        </w:rPr>
      </w:pPr>
    </w:p>
    <w:p>
      <w:pPr>
        <w:jc w:val="both"/>
        <w:ind w:left="680" w:right="20" w:hanging="328"/>
        <w:spacing w:after="0" w:line="260"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in breach or default in any material respect of any of our covenants and agreements in the Purchase Agreement or in the Registration Rights Agreement, and, if such breach or default is capable of being cured, such breach or default is not cured within 10 trading days after notice of such breach or default is delivered to us;</w:t>
      </w:r>
    </w:p>
    <w:p>
      <w:pPr>
        <w:spacing w:after="0" w:line="176" w:lineRule="exact"/>
        <w:rPr>
          <w:rFonts w:ascii="Times New Roman" w:cs="Times New Roman" w:eastAsia="Times New Roman" w:hAnsi="Times New Roman"/>
          <w:sz w:val="18"/>
          <w:szCs w:val="18"/>
          <w:color w:val="auto"/>
        </w:rPr>
      </w:pPr>
    </w:p>
    <w:p>
      <w:pPr>
        <w:ind w:left="680" w:hanging="328"/>
        <w:spacing w:after="0" w:line="255"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that includes this prospectus or any additional registration statement we file with the SEC pursuant to the Registration Rights Agreement lapses for any reason (including the issuance of a stop order by the SEC), or this prospectus or the prospectus included in any additional registration statement we file with the SEC pursuant to the Registration Rights Agreement otherwise becomes unavailable to the Selling Shareholder for the resale of all of the</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spacing w:after="0" w:line="274" w:lineRule="auto"/>
        <w:rPr>
          <w:sz w:val="20"/>
          <w:szCs w:val="20"/>
          <w:color w:val="auto"/>
        </w:rPr>
      </w:pPr>
      <w:r>
        <w:rPr>
          <w:rFonts w:ascii="Times New Roman" w:cs="Times New Roman" w:eastAsia="Times New Roman" w:hAnsi="Times New Roman"/>
          <w:sz w:val="18"/>
          <w:szCs w:val="18"/>
          <w:color w:val="auto"/>
        </w:rPr>
        <w:t>ordinary shares included therein, and such lapse or unavailability continues for a period of 30 consecutive trading days or for more than an aggregate of 90 trading days in any 365-day period, other than due to acts of the Selling Shareholder; or</w:t>
      </w:r>
    </w:p>
    <w:p>
      <w:pPr>
        <w:spacing w:after="0" w:line="164" w:lineRule="exact"/>
        <w:rPr>
          <w:sz w:val="20"/>
          <w:szCs w:val="20"/>
          <w:color w:val="auto"/>
        </w:rPr>
      </w:pPr>
    </w:p>
    <w:p>
      <w:pPr>
        <w:ind w:left="680" w:right="280" w:hanging="328"/>
        <w:spacing w:after="0" w:line="274"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ordinary shares on Nasdaq (or if the ordinary shares are then listed on an Eligible Market, trading in the ordinary shares on such Eligible Market) has been suspended for a period of five consecutive trading days.</w:t>
      </w:r>
    </w:p>
    <w:p>
      <w:pPr>
        <w:spacing w:after="0" w:line="16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No termination of the Purchase Agreement by us or by the Selling Shareholder will become effective prior to the fifth trading day immediately following the date on which any pending (or not fully settled) VWAP Purchase or any pending Intraday VWAP Purchase has been fully settled in accordance with the terms and conditions of the Purchase Agreement and no termination will affect any of our respective rights and obligations under the Purchase Agreement with respect to any pending (or not fully settled) VWAP Purchase, any pending Intraday VWAP Purchase, the Commitment Shares issued or issuable pursuant to the Purchase Agreement, and any fees and disbursements of the Selling Shareholder’s counsel pursuant to the Purchase Agreement. Both we and the Selling Shareholder have agreed to complete our respective obligations with respect to any such pending (or not fully settled) VWAP Purchase and any pending Intraday VWAP Purchase under the Purchase Agreement. Furthermore, no termination of the Purchase Agreement will affect the Registration Rights Agreement, which will survive any termination of the Purchase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Short-Selling or Hedging by the Selling Shareholder</w:t>
      </w:r>
    </w:p>
    <w:p>
      <w:pPr>
        <w:spacing w:after="0" w:line="220"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Selling Shareholder has agreed not to engage in or effect, directly or indirectly, for its own principal account or for the principal account of any of its officers, or any entity managed or controlled by it, any (i) “short sale” (as such term is defined in Rule 200 of Regulation SHO of the Exchange Act) of the ordinary shares or (ii) hedging transaction, which establishes a net short position with respect to the ordinary shares, during the term of the Purchase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Sales of Our Ordinary Shares Under the Purchase Agreement on Our Shareholders</w:t>
      </w:r>
    </w:p>
    <w:p>
      <w:pPr>
        <w:spacing w:after="0" w:line="220"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All ordinary shares that may be issued or sold by us to the Selling Shareholder under the Purchase Agreement that are being registered under the Securities Act for resale by the Selling Shareholder in this offering are expected to be freely tradable. The ordinary shares being registered for resale in this offering may be issued and sold by us to the Selling Shareholder from time to time at our discretion over a period of up to 24 months commencing on the Commencement Date. The resale by the Selling Shareholder of a significant number of shares registered for resale in this offering at any given time, or the perception that these sales may occur, could cause the market price of our ordinary shares to decline and to be highly volatile. Sales of our ordinary shares, if any, to the Selling Shareholder under the Purchase Agreement will depend upon market conditions and other factors to be determined by us. We may ultimately decide to sell to the Selling Shareholder all, some or none of our ordinary shares that may be available for us to sell to the Selling Shareholder pursuant to the Purchase Agreement.</w:t>
      </w:r>
    </w:p>
    <w:p>
      <w:pPr>
        <w:spacing w:after="0" w:line="190"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If and when we do elect to sell our ordinary shares to the Selling Shareholder pursuant to the Purchase Agreement, after the Selling Shareholder has acquired such shares, the Selling Shareholder may resell all, some or none of such shares at any time or from time to time in its discretion and at different prices. As a result, investors who purchase shares from the Selling Shareholder in this offering at different times will likely pay different prices for those shares, and so may experience different outcomes in their investment results. Investors may experience a decline in the value of the shares they purchase from the Selling Shareholder in this offering as a result of future sales made by us to the Selling Shareholder at prices lower than the prices such investors paid for their shares in this offering. In addition, if we sell a substantial number of shares to the Selling Shareholder under the Purchase Agreement, or if investors expect that we will do so, the actual sales of shares or the mere existence of our arrangement with the Selling Shareholder may make it more difficult for us to sell equity or equity-related securities in the future at a time and at a price that we might otherwise wish to effect such sales.</w:t>
      </w:r>
    </w:p>
    <w:p>
      <w:pPr>
        <w:spacing w:after="0" w:line="173"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Because the purchase price per share to be paid by the Selling Shareholder for the ordinary shares that we may elect to sell to the Selling Shareholder under the Purchase Agreement, if any, will fluctuate based on the market prices of our ordinary shares during the applicable VWAP Purchase Valuation Period for each VWAP Purchase, and during the applicable Intraday Purchase Valuation Period for each Intraday VWAP Purchase, made pursuant to the Purchase Agreement, if any, as of the date of this prospectus it is not possible for us to predict the number of ordinary shares that we will sell to the Selling Shareholder under the Purchase Agreement, the actual purchase price per share to be paid by the Selling Shareholder for those shares, or the actual gross proceeds to be raised by us from those sales, if any. As of October 6, 2022, there were 84,868,774 ordinary shares outstanding, of which 45,339,364 shares were held by non-affiliates. Although the Purchase Agreement provides that we may sell up to an aggregate of $150,000,000 of our ordinary shares to the Selling Shareholder, only 14,138,867 ordinary shares are being registered for resale under the registration statement that includes this prospectus. If all of the 14,138,867 shares offered for resale by the Selling Shareholder under this prospectus were issued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60"/>
        <w:spacing w:after="0" w:line="274" w:lineRule="auto"/>
        <w:rPr>
          <w:sz w:val="20"/>
          <w:szCs w:val="20"/>
          <w:color w:val="auto"/>
        </w:rPr>
      </w:pPr>
      <w:r>
        <w:rPr>
          <w:rFonts w:ascii="Times New Roman" w:cs="Times New Roman" w:eastAsia="Times New Roman" w:hAnsi="Times New Roman"/>
          <w:sz w:val="18"/>
          <w:szCs w:val="18"/>
          <w:color w:val="auto"/>
        </w:rPr>
        <w:t>and outstanding as of October 6, 2022, such shares would represent approximately 14.3% of the total number of ordinary shares outstanding and approximately 23.8% of the total number of outstanding ordinary shares held by non-affiliates.</w:t>
      </w:r>
    </w:p>
    <w:p>
      <w:pPr>
        <w:spacing w:after="0" w:line="164" w:lineRule="exact"/>
        <w:rPr>
          <w:sz w:val="20"/>
          <w:szCs w:val="20"/>
          <w:color w:val="auto"/>
        </w:rPr>
      </w:pPr>
    </w:p>
    <w:p>
      <w:pPr>
        <w:ind w:right="120" w:firstLine="318"/>
        <w:spacing w:after="0" w:line="266" w:lineRule="auto"/>
        <w:rPr>
          <w:sz w:val="20"/>
          <w:szCs w:val="20"/>
          <w:color w:val="auto"/>
        </w:rPr>
      </w:pPr>
      <w:r>
        <w:rPr>
          <w:rFonts w:ascii="Times New Roman" w:cs="Times New Roman" w:eastAsia="Times New Roman" w:hAnsi="Times New Roman"/>
          <w:sz w:val="17"/>
          <w:szCs w:val="17"/>
          <w:color w:val="auto"/>
        </w:rPr>
        <w:t>If it becomes necessary for us to issue and sell to the Selling Shareholder under the Purchase Agreement more shares than are being registered for resale under this prospectus in order to receive aggregate gross proceeds equal to $150,000,000 under the Purchase Agreement, we must first file with the SEC one or more additional registration statements to register under the Securities Act the resale by the Selling Shareholder of any such additional ordinary shares we wish to sell from time to time under the Purchase Agreement, which the SEC must declare effective, in each case, before we may elect to sell any additional ordinary shares to the Selling Shareholder under the Purchase Agreement. In addition, the Selling Shareholder will not be required to purchase any ordinary shares if such sale would result in the Selling Shareholder’s beneficial ownership exceeding the Beneficial Ownership Limitation, which is defined in the Purchase Agreement as 4.99% of the outstanding ordinary shares. Our inability to access a portion or the full amount available under the Purchase Agreement, in the absence of any other financing sources, could have a material adverse effect on our business or results of operation.</w:t>
      </w:r>
    </w:p>
    <w:p>
      <w:pPr>
        <w:spacing w:after="0" w:line="173"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issuance of our ordinary shares to the Selling Shareholder pursuant to the Purchase Agreement will not affect the rights or privileges of our existing shareholders, except that the economic and voting interests of each of our existing shareholders will be diluted. Although the number of our ordinary shares that our existing shareholders own will not decrease, our ordinary shares owned by our existing shareholders will represent a smaller percentage of our total outstanding ordinary shares after any such issuance.</w:t>
      </w:r>
    </w:p>
    <w:p>
      <w:pPr>
        <w:spacing w:after="0" w:line="182"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the Selling Shareholder from our sale of ordinary shares to the Selling Shareholder under the Purchase Agreement at varying purchase prices: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Percentage of Outstanding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Gross Proceeds from the</w:t>
            </w:r>
          </w:p>
        </w:tc>
      </w:tr>
      <w:tr>
        <w:trPr>
          <w:trHeight w:val="212"/>
        </w:trPr>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Ordinary Shares After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sale of the Ordinary</w:t>
            </w:r>
          </w:p>
        </w:tc>
      </w:tr>
      <w:tr>
        <w:trPr>
          <w:trHeight w:val="212"/>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Assumed Average</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Number of Registered</w:t>
            </w:r>
          </w:p>
        </w:tc>
        <w:tc>
          <w:tcPr>
            <w:tcW w:w="2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Giving Effect to the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Shares to the Selling</w:t>
            </w:r>
          </w:p>
        </w:tc>
      </w:tr>
      <w:tr>
        <w:trPr>
          <w:trHeight w:val="205"/>
        </w:trPr>
        <w:tc>
          <w:tcPr>
            <w:tcW w:w="26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Purchase Price Per</w:t>
            </w:r>
          </w:p>
        </w:tc>
        <w:tc>
          <w:tcPr>
            <w:tcW w:w="244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b w:val="1"/>
                <w:bCs w:val="1"/>
                <w:color w:val="auto"/>
                <w:w w:val="97"/>
              </w:rPr>
              <w:t>Ordinary Shares to be</w:t>
            </w:r>
          </w:p>
        </w:tc>
        <w:tc>
          <w:tcPr>
            <w:tcW w:w="2600" w:type="dxa"/>
            <w:vAlign w:val="bottom"/>
            <w:gridSpan w:val="2"/>
          </w:tcPr>
          <w:p>
            <w:pPr>
              <w:jc w:val="center"/>
              <w:ind w:right="260"/>
              <w:spacing w:after="0" w:line="205" w:lineRule="exact"/>
              <w:rPr>
                <w:sz w:val="20"/>
                <w:szCs w:val="20"/>
                <w:color w:val="auto"/>
              </w:rPr>
            </w:pPr>
            <w:r>
              <w:rPr>
                <w:rFonts w:ascii="Times New Roman" w:cs="Times New Roman" w:eastAsia="Times New Roman" w:hAnsi="Times New Roman"/>
                <w:sz w:val="18"/>
                <w:szCs w:val="18"/>
                <w:b w:val="1"/>
                <w:bCs w:val="1"/>
                <w:color w:val="auto"/>
                <w:w w:val="97"/>
              </w:rPr>
              <w:t>Issuance to the Selling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jc w:val="center"/>
              <w:ind w:right="72"/>
              <w:spacing w:after="0" w:line="205" w:lineRule="exact"/>
              <w:rPr>
                <w:sz w:val="20"/>
                <w:szCs w:val="20"/>
                <w:color w:val="auto"/>
              </w:rPr>
            </w:pPr>
            <w:r>
              <w:rPr>
                <w:rFonts w:ascii="Times New Roman" w:cs="Times New Roman" w:eastAsia="Times New Roman" w:hAnsi="Times New Roman"/>
                <w:sz w:val="18"/>
                <w:szCs w:val="18"/>
                <w:b w:val="1"/>
                <w:bCs w:val="1"/>
                <w:color w:val="auto"/>
                <w:w w:val="97"/>
              </w:rPr>
              <w:t>Shareholder Under the</w:t>
            </w:r>
          </w:p>
        </w:tc>
      </w:tr>
      <w:tr>
        <w:trPr>
          <w:trHeight w:val="240"/>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80" w:type="dxa"/>
            <w:vAlign w:val="bottom"/>
            <w:tcBorders>
              <w:bottom w:val="single" w:sz="8" w:color="CCEEFF"/>
            </w:tcBorders>
            <w:gridSpan w:val="2"/>
          </w:tcPr>
          <w:p>
            <w:pPr>
              <w:spacing w:after="0"/>
              <w:rPr>
                <w:sz w:val="20"/>
                <w:szCs w:val="20"/>
                <w:color w:val="auto"/>
              </w:rPr>
            </w:pPr>
          </w:p>
        </w:tc>
        <w:tc>
          <w:tcPr>
            <w:tcW w:w="224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6"/>
              </w:rPr>
              <w:t>Issued if Full Purchase</w:t>
            </w:r>
            <w:r>
              <w:rPr>
                <w:rFonts w:ascii="Times New Roman" w:cs="Times New Roman" w:eastAsia="Times New Roman" w:hAnsi="Times New Roman"/>
                <w:sz w:val="26"/>
                <w:szCs w:val="26"/>
                <w:b w:val="1"/>
                <w:bCs w:val="1"/>
                <w:color w:val="auto"/>
                <w:w w:val="96"/>
                <w:vertAlign w:val="superscript"/>
              </w:rPr>
              <w:t>(1)</w:t>
            </w:r>
          </w:p>
        </w:tc>
        <w:tc>
          <w:tcPr>
            <w:tcW w:w="20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5"/>
              </w:rPr>
              <w:t>Shareholder</w:t>
            </w:r>
            <w:r>
              <w:rPr>
                <w:rFonts w:ascii="Times New Roman" w:cs="Times New Roman" w:eastAsia="Times New Roman" w:hAnsi="Times New Roman"/>
                <w:sz w:val="26"/>
                <w:szCs w:val="26"/>
                <w:b w:val="1"/>
                <w:bCs w:val="1"/>
                <w:color w:val="auto"/>
                <w:w w:val="95"/>
                <w:vertAlign w:val="superscript"/>
              </w:rPr>
              <w:t>(2)</w:t>
            </w: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Purchase Agreement</w:t>
            </w:r>
          </w:p>
        </w:tc>
      </w:tr>
      <w:tr>
        <w:trPr>
          <w:trHeight w:val="206"/>
        </w:trPr>
        <w:tc>
          <w:tcPr>
            <w:tcW w:w="2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$2.00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14,138,867</w:t>
            </w:r>
          </w:p>
        </w:tc>
        <w:tc>
          <w:tcPr>
            <w:tcW w:w="20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14.3%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28,277,734</w:t>
            </w:r>
          </w:p>
        </w:tc>
      </w:tr>
      <w:tr>
        <w:trPr>
          <w:trHeight w:val="212"/>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14,138,867</w:t>
            </w:r>
          </w:p>
        </w:tc>
        <w:tc>
          <w:tcPr>
            <w:tcW w:w="2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42,416,601</w:t>
            </w: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14,138,867</w:t>
            </w:r>
          </w:p>
        </w:tc>
        <w:tc>
          <w:tcPr>
            <w:tcW w:w="2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56,555,468</w:t>
            </w:r>
          </w:p>
        </w:tc>
      </w:tr>
      <w:tr>
        <w:trPr>
          <w:trHeight w:val="212"/>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14,138,867</w:t>
            </w:r>
          </w:p>
        </w:tc>
        <w:tc>
          <w:tcPr>
            <w:tcW w:w="2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70,694,335</w:t>
            </w: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14,138,867</w:t>
            </w:r>
          </w:p>
        </w:tc>
        <w:tc>
          <w:tcPr>
            <w:tcW w:w="2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84,833,202</w:t>
            </w:r>
          </w:p>
        </w:tc>
      </w:tr>
      <w:tr>
        <w:trPr>
          <w:trHeight w:val="106"/>
        </w:trPr>
        <w:tc>
          <w:tcPr>
            <w:tcW w:w="2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r>
    </w:tbl>
    <w:p>
      <w:pPr>
        <w:spacing w:after="0" w:line="74" w:lineRule="exact"/>
        <w:rPr>
          <w:sz w:val="20"/>
          <w:szCs w:val="20"/>
          <w:color w:val="auto"/>
        </w:rPr>
      </w:pPr>
    </w:p>
    <w:p>
      <w:pPr>
        <w:ind w:left="320" w:right="260" w:hanging="313"/>
        <w:spacing w:after="0" w:line="253"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offered by this prospectus may not cover all the shares we ultimately sell to the Selling Shareholder under the Purchase Agreement, depending on the purchase price per share. We have included in this column only those shares being offered for resale by the Selling Shareholder under this prospectus, without regard for the Beneficial Ownership Limitation. The assumed average purchase prices are solely for illustration and are not intended to be estimates or predictions of future stock performance.</w:t>
      </w:r>
    </w:p>
    <w:p>
      <w:pPr>
        <w:spacing w:after="0" w:line="182" w:lineRule="exact"/>
        <w:rPr>
          <w:rFonts w:ascii="Times New Roman" w:cs="Times New Roman" w:eastAsia="Times New Roman" w:hAnsi="Times New Roman"/>
          <w:sz w:val="18"/>
          <w:szCs w:val="18"/>
          <w:color w:val="auto"/>
        </w:rPr>
      </w:pPr>
    </w:p>
    <w:p>
      <w:pPr>
        <w:ind w:left="320" w:right="360" w:hanging="313"/>
        <w:spacing w:after="0" w:line="260"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84,868,774 ordinary shares outstanding as of October 6, 2022, adjusted to include the issuance of the number of shares set forth in the second column. The numerator is based on the number of ordinary shares set forth in the second column.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sets forth our cash and cash equivalents and capitalization (defined as long-term debt and shareholders’ equity)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derived from our consolidated financial statements prepared in accordance with IFRS as issued by the IASB:</w:t>
      </w:r>
    </w:p>
    <w:p>
      <w:pPr>
        <w:spacing w:after="0" w:line="198" w:lineRule="exact"/>
        <w:rPr>
          <w:sz w:val="20"/>
          <w:szCs w:val="20"/>
          <w:color w:val="auto"/>
        </w:rPr>
      </w:pPr>
    </w:p>
    <w:p>
      <w:pPr>
        <w:ind w:left="680" w:hanging="328"/>
        <w:spacing w:after="0"/>
        <w:tabs>
          <w:tab w:leader="none" w:pos="68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an actual basis;</w:t>
      </w:r>
    </w:p>
    <w:p>
      <w:pPr>
        <w:spacing w:after="0" w:line="217" w:lineRule="exact"/>
        <w:rPr>
          <w:rFonts w:ascii="Times New Roman" w:cs="Times New Roman" w:eastAsia="Times New Roman" w:hAnsi="Times New Roman"/>
          <w:sz w:val="18"/>
          <w:szCs w:val="18"/>
          <w:color w:val="231F20"/>
        </w:rPr>
      </w:pPr>
    </w:p>
    <w:p>
      <w:pPr>
        <w:ind w:left="680" w:right="60" w:hanging="328"/>
        <w:spacing w:after="0" w:line="274" w:lineRule="auto"/>
        <w:tabs>
          <w:tab w:leader="none" w:pos="68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 pro forma basis to give effect to the issuance of 3,361,133 ordinary shares sold to the selling shareholder for an aggregate net amount of €9.9 million between July 1, 2022 and the date of this prospectus; and</w:t>
      </w:r>
    </w:p>
    <w:p>
      <w:pPr>
        <w:spacing w:after="0" w:line="164" w:lineRule="exact"/>
        <w:rPr>
          <w:rFonts w:ascii="Times New Roman" w:cs="Times New Roman" w:eastAsia="Times New Roman" w:hAnsi="Times New Roman"/>
          <w:sz w:val="18"/>
          <w:szCs w:val="18"/>
          <w:color w:val="231F20"/>
        </w:rPr>
      </w:pPr>
    </w:p>
    <w:p>
      <w:pPr>
        <w:ind w:left="680" w:right="180" w:hanging="328"/>
        <w:spacing w:after="0" w:line="282" w:lineRule="auto"/>
        <w:tabs>
          <w:tab w:leader="none" w:pos="680"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 a pro forma as adjusted basis to give effect to the issuance of 14,138,867 ordinary shares we are registering on behalf of the selling shareholder based upon an assumed offering price of $2.50 per ordinary share, the closing price of our ordinary shares as listed on Nasdaq on October 6, 2022 and after deducting a 2.0% discount and estimated offering expenses payable by us.</w:t>
      </w:r>
    </w:p>
    <w:p>
      <w:pPr>
        <w:spacing w:after="0" w:line="160"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You should read this table in conjunction with our audited consolidated financial statements and notes thereto included elsewhere in this prospectus as well as “</w:t>
      </w:r>
      <w:r>
        <w:rPr>
          <w:rFonts w:ascii="Times New Roman" w:cs="Times New Roman" w:eastAsia="Times New Roman" w:hAnsi="Times New Roman"/>
          <w:sz w:val="18"/>
          <w:szCs w:val="18"/>
          <w:i w:val="1"/>
          <w:iCs w:val="1"/>
          <w:color w:val="auto"/>
        </w:rPr>
        <w:t>About This Prospectus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440" w:type="dxa"/>
            <w:vAlign w:val="bottom"/>
            <w:tcBorders>
              <w:bottom w:val="single" w:sz="8" w:color="auto"/>
            </w:tcBorders>
          </w:tcPr>
          <w:p>
            <w:pPr>
              <w:spacing w:after="0"/>
              <w:rPr>
                <w:sz w:val="14"/>
                <w:szCs w:val="14"/>
                <w:color w:val="auto"/>
              </w:rPr>
            </w:pPr>
          </w:p>
        </w:tc>
      </w:tr>
      <w:tr>
        <w:trPr>
          <w:trHeight w:val="139"/>
        </w:trPr>
        <w:tc>
          <w:tcPr>
            <w:tcW w:w="5620" w:type="dxa"/>
            <w:vAlign w:val="bottom"/>
          </w:tcPr>
          <w:p>
            <w:pPr>
              <w:spacing w:after="0"/>
              <w:rPr>
                <w:sz w:val="12"/>
                <w:szCs w:val="12"/>
                <w:color w:val="auto"/>
              </w:rPr>
            </w:pPr>
          </w:p>
        </w:tc>
        <w:tc>
          <w:tcPr>
            <w:tcW w:w="1440" w:type="dxa"/>
            <w:vAlign w:val="bottom"/>
            <w:gridSpan w:val="2"/>
          </w:tcPr>
          <w:p>
            <w:pPr>
              <w:jc w:val="right"/>
              <w:ind w:right="600"/>
              <w:spacing w:after="0" w:line="139" w:lineRule="exact"/>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4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Pro Forma as adjusted</w:t>
            </w:r>
          </w:p>
        </w:tc>
      </w:tr>
      <w:tr>
        <w:trPr>
          <w:trHeight w:val="126"/>
        </w:trPr>
        <w:tc>
          <w:tcPr>
            <w:tcW w:w="56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Borders>
              <w:top w:val="single" w:sz="8" w:color="auto"/>
            </w:tcBorders>
          </w:tcPr>
          <w:p>
            <w:pPr>
              <w:ind w:left="300"/>
              <w:spacing w:after="0" w:line="126" w:lineRule="exact"/>
              <w:rPr>
                <w:sz w:val="20"/>
                <w:szCs w:val="20"/>
                <w:color w:val="auto"/>
              </w:rPr>
            </w:pPr>
            <w:r>
              <w:rPr>
                <w:rFonts w:ascii="Times New Roman" w:cs="Times New Roman" w:eastAsia="Times New Roman" w:hAnsi="Times New Roman"/>
                <w:sz w:val="14"/>
                <w:szCs w:val="14"/>
                <w:b w:val="1"/>
                <w:bCs w:val="1"/>
                <w:color w:val="auto"/>
              </w:rPr>
              <w:t>(in € millions)</w:t>
            </w:r>
          </w:p>
        </w:tc>
        <w:tc>
          <w:tcPr>
            <w:tcW w:w="16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r>
      <w:tr>
        <w:trPr>
          <w:trHeight w:val="21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2"/>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Subscribed capital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2"/>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12"/>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(208.1)</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1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have never paid or declared any cash dividends in the past, and we do not anticipate paying any cash dividends for the foreseeable future. We intend to retain all available funds and any future earnings to fund the completion of the development of the Sion and the start of its serial production as well as the further development and expansion of our business. We may only pay dividends and other distributions from our reserves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or other distributions will be at the discretion of our management board with the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w:t>
      </w:r>
    </w:p>
    <w:p>
      <w:pPr>
        <w:spacing w:after="0" w:line="187"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7"/>
          <w:szCs w:val="17"/>
          <w:color w:val="auto"/>
        </w:rPr>
        <w:t>Under our articles of association, our management board may decide that all or part of the profits are added to our reserves. After reservation of any profit, the remaining profit will be at the disposal of the general meeting at the proposal of our management board for distribution, subject to restrictions of Dutch law and approval by our supervisory board of such proposal by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7"/>
          <w:szCs w:val="17"/>
          <w:i w:val="1"/>
          <w:iCs w:val="1"/>
          <w:color w:val="auto"/>
        </w:rPr>
        <w:t>verjaring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0"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historical consolidated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Actual results could differ materially from those contained in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We believe we are a pioneer and technological leader in the field of solar-powered electric mobility. We intend to use our technology to create our solar and battery powered vehicle, the Sion. Our proprietary solar technology has, however, many other potential applications. We believe that our solar technology is suitable for different uses, such as buses, trucks, camper vans, trains and even boats, and has the potential to accelerate the transition towards sustainable transportation. We have successfully started to market, and are already generating limited revenues from, our proprietary solar technology.</w:t>
      </w:r>
    </w:p>
    <w:p>
      <w:pPr>
        <w:spacing w:after="0" w:line="182"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disruptive solar technology allows for full solar integration. In the process of developing the Sion, we soon realized that the available solar technology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and avoids the risk of bodily harm caused by broken glass. We have also developed other critical components for the use of solar technology in mobility applications. We have, through our MCU, solved the issue that solar cells will be mounted on different parts of the exterior, which will lead to uneven exposure to sunlight. Our technology allows for the seamless integration of solar cells into the full body of a car, such as the Sion, and the charging of its battery through the power of the sun. However, solar technology has many other potential applications, and its use cases extend far beyond passenger cars, allowing for grid-independent charging and a reduction of running costs or total costs of ownership in transport-related use cases, such as trucks, buses, recreational vehicles and boats. Manufacturers may also use our technology for new production vehicles. Fleet operators may use our technology to retrofit existing vehicles, to extend the range of BEVs or to comply with emission regulations. The transport and logistics industries in particular are very focused on total cost of ownership, and we believe our solar integration can reduce their running costs significantly. We have several patents granted or within the filing-process protecting our proprietary technology.</w:t>
      </w:r>
    </w:p>
    <w:p>
      <w:pPr>
        <w:spacing w:after="0" w:line="189" w:lineRule="exact"/>
        <w:rPr>
          <w:sz w:val="20"/>
          <w:szCs w:val="20"/>
          <w:color w:val="auto"/>
        </w:rPr>
      </w:pPr>
    </w:p>
    <w:p>
      <w:pPr>
        <w:ind w:right="160" w:firstLine="318"/>
        <w:spacing w:after="0" w:line="249" w:lineRule="auto"/>
        <w:rPr>
          <w:sz w:val="20"/>
          <w:szCs w:val="20"/>
          <w:color w:val="auto"/>
        </w:rPr>
      </w:pPr>
      <w:r>
        <w:rPr>
          <w:rFonts w:ascii="Times New Roman" w:cs="Times New Roman" w:eastAsia="Times New Roman" w:hAnsi="Times New Roman"/>
          <w:sz w:val="18"/>
          <w:szCs w:val="18"/>
          <w:color w:val="auto"/>
        </w:rPr>
        <w:t>Our technology will be one of the distinctive features of the Sion. It will have the ability to recharge itself using solar energy panels installed on the exterior that leverage our polymer-based solar technology. We expect that solar power will reduce the number of charging intervals and, depending on the vehicle’s usage profile, may even eliminate the need for battery charging, positioning us to benefit from a significant competitive advantage over conventional electric vehicles. The Sion’s polymer exterior significantly reduces the need for expensive metal-stamping tools and machinery costs, and the integration of solar modules into the bodywork eliminates the need for a costly paint shop, which helps us to accept reservations for the Sion locking in a comparatively low net entry price of currently €25.1 thousand. Consistent with our goal to lower CO2 emissions, each Sion will be outfitted with technology that can connect to our car- and ride-sharing networks through our proprietary hardware and software solutions. We expect that the Sion will be convenient to operate and share and comparatively affordable providing it with the potential to disrupt the market.</w:t>
      </w:r>
    </w:p>
    <w:p>
      <w:pPr>
        <w:spacing w:after="0" w:line="190"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7"/>
          <w:szCs w:val="17"/>
          <w:color w:val="auto"/>
        </w:rPr>
        <w:t>To make the Sion affordable for the mass market without compromising security or quality, we do things differently and, we believe, much more efficiently and sustainably than traditional car manufacturers or other pure EV manufacturers. We believe our production and distribution strategies will enable us to reduce production complexity, maintain relatively low overhead costs and significantly reduce our capital expenditures and distribution costs, thereby positioning us to become a price-value leader compared to competitors’ offerings in the relevant car segments. We intend to produce the Sion as a one-variant-only vehicle via a third-party producer and to rely on business-to-consumer direct distribution. All Sions will have the same exterior color and vehicle features, and will rely on existing off-the-shelf component parts from established automotive suppliers, such as Vitesco Technologies Germany GmbH (a former subsidiary of Continental AG), Hella GmbH &amp; Co. KGaA and FinDreams Industry Co., Ltd., resulting in economies of scale through the partial elimination of development costs, reduced purchasing and manufacturing complexity, reduced logistical challenges and inventory costs, and lower risks associated with quality control and testing, all of which should facilitate more rapid growth of our operations. The contract manufacturer Valmet Automotive in Uusikaupunki, Finland will produce the Sion. Our goal is to offset 100% of the CO2 emissions generated by the production of the Sion and our future vehicle models, with a view to achieving full CO2 neutrality during the production cycle.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Rather than relying on dealerships to sell the Sion, we intend to rely on what we consider to be an innovative and effective way to sell directly to customers through our online platform. Customers can view the Sion, book a test drive and engage and place orders directly with us. As of September 1, 2022, we had more than 20,000 reservations, more than 3,500 of which were made in 2022, with advance payments resulting in total net cash inflows of approximately €43 million from our customers. These reservations correspond to a net sales volume of approximately €435 million assuming all reservations actually result in sales. However, our customers may cancel their reservations without penalty according to our general terms and conditions, if no binding purchase agreement has been concluded by an agreed deadline, which varies. Some reservations are already cancelable as of the date of this prospectus. We intend to begin fulfilling customer reservations in the second half of 2023. See also “</w:t>
      </w:r>
      <w:r>
        <w:rPr>
          <w:rFonts w:ascii="Times New Roman" w:cs="Times New Roman" w:eastAsia="Times New Roman" w:hAnsi="Times New Roman"/>
          <w:sz w:val="18"/>
          <w:szCs w:val="18"/>
          <w:i w:val="1"/>
          <w:iCs w:val="1"/>
          <w:color w:val="auto"/>
        </w:rPr>
        <w:t>Risk Factors — Risks Related to Our Business and Operations — Any delay in commercial production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Sion could adversely affect us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are already generating limited revenues from our proprietary solar technology. We have shipped prototypes and solar retrofits to customers, generating revenue of €11 thousand in the fourth quarter of 2021 and €39 thousand in the first half of 2022. As of June 30, 2022, we had a total of 10 purchase orders and 12 non-binding letters of intent. With respect to the Sion, we are still in the pre-production phase and presented the first vehicles from the third prototype generation, the Sion SVVs in July 2022. In total, we are working to assemble 37 SVVs and bodies-in-white with the support of our partners thyssenkrupp Automotive Body Solutions and Bertrandt, which are located close to Sono Motors’ headquarters in Munich. Assembly of the SVVs is currently ongoing.</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available cash and cash equivalents and the expected proceeds from this offering will not be sufficient to secure our needs through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start of production of the Sion. Assuming that we actually raise the additional funding we need, we currently plan to commence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production of the Sion in the second half of 2023. For the six months ended June 30, 2022, we had a loss for the period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€61.0 million, compared to a loss for the period for the six months ended June 30, 2021 of €24.4 million. For the year ended December 31,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we had a loss for the period of €63.9 million, compared to a loss for the period for the year ended December 31, 2020 of €56.0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We have incurred net losses since our inception in March 2016, resulting in an accumulated deficit of €208.1 million as of June 30,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compared to €147.1 million as of December 31, 2021. We believe that we will continue to incur losses and depend on external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financing for the foreseeable future at least until we commence material deliveries of the Sion and the time when we significantly scale our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including the monetization of our solar technology. We currently expect that we will need at least €242 million in external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until the start of production of the Sion. In order to meet the targeted date for the start of production, we expect that we need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raise approximately half of the required external funding in the fourth quarter of 2022 and the remainder in 2023. We have been and 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actively considering various financing options, including registered offerings of newly issued shares and other equity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0"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We expect to generate revenue mainly from sales of the Sion, monetization of our solar technology and initially also from emission certificate pooling. We also expect to generate, to a lesser degree, revenue from our car- and ride-sharing application.</w:t>
      </w:r>
    </w:p>
    <w:p>
      <w:pPr>
        <w:spacing w:after="0" w:line="160" w:lineRule="exact"/>
        <w:rPr>
          <w:sz w:val="20"/>
          <w:szCs w:val="20"/>
          <w:color w:val="auto"/>
        </w:rPr>
      </w:pPr>
    </w:p>
    <w:p>
      <w:pPr>
        <w:ind w:left="680" w:right="260" w:hanging="328"/>
        <w:spacing w:after="0" w:line="254" w:lineRule="auto"/>
        <w:tabs>
          <w:tab w:leader="none" w:pos="68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Sales of the Sion and Future Vehicle Models: </w:t>
      </w:r>
      <w:r>
        <w:rPr>
          <w:rFonts w:ascii="Times New Roman" w:cs="Times New Roman" w:eastAsia="Times New Roman" w:hAnsi="Times New Roman"/>
          <w:sz w:val="18"/>
          <w:szCs w:val="18"/>
          <w:color w:val="231F20"/>
        </w:rPr>
        <w:t>We plan to position the Sion as an affordable, solar-electric vehicle for the mass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market. As of September 1, 2022, we had more than 20,000 reservations, more than 3,500 of which were made in 2022, with advance payments resulting in total net cash inflows of approximately €43 million from our customers. These reservations correspond to a net sales volume of approximately €435 million, assuming that all reservations actually result in sales. In the longer term, we plan to introduce additional solar electric vehicle models.</w:t>
      </w:r>
    </w:p>
    <w:p>
      <w:pPr>
        <w:spacing w:after="0" w:line="178" w:lineRule="exact"/>
        <w:rPr>
          <w:rFonts w:ascii="Times New Roman" w:cs="Times New Roman" w:eastAsia="Times New Roman" w:hAnsi="Times New Roman"/>
          <w:sz w:val="18"/>
          <w:szCs w:val="18"/>
          <w:color w:val="231F20"/>
        </w:rPr>
      </w:pPr>
    </w:p>
    <w:p>
      <w:pPr>
        <w:ind w:left="680" w:right="40" w:hanging="328"/>
        <w:spacing w:after="0" w:line="250" w:lineRule="auto"/>
        <w:tabs>
          <w:tab w:leader="none" w:pos="68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Monetization of our Solar Technology: </w:t>
      </w:r>
      <w:r>
        <w:rPr>
          <w:rFonts w:ascii="Times New Roman" w:cs="Times New Roman" w:eastAsia="Times New Roman" w:hAnsi="Times New Roman"/>
          <w:sz w:val="18"/>
          <w:szCs w:val="18"/>
          <w:color w:val="231F20"/>
        </w:rPr>
        <w:t>The potential scope of application of our solar technology goes significantly beyond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Sion. We believe that our solar technology has the potential to be used in existing markets, for example for trucks and trailers, trains, ships and buildings. We have already received purchase orders or entered into several non-binding letters of intent for partnerships, including with manufacturers of trailers, autonomous electric shuttles, trains, trucks, buses and boats that may use our technology in their own products. We may also produce and sell certain selected solar components, license our patents to third parties or seek to generate service revenue from providing engineering services to third parties. We believe that our patents position us to shift our solar technology revenue model from sales to licensing in the long term. We have shipped prototypes or solar retrofits to customers, generating revenue of approximately €11 thousand in the fourth quarter of 2021 and €39 thousand in the first half of 2022.</w:t>
      </w:r>
    </w:p>
    <w:p>
      <w:pPr>
        <w:spacing w:after="0" w:line="181" w:lineRule="exact"/>
        <w:rPr>
          <w:rFonts w:ascii="Times New Roman" w:cs="Times New Roman" w:eastAsia="Times New Roman" w:hAnsi="Times New Roman"/>
          <w:sz w:val="18"/>
          <w:szCs w:val="18"/>
          <w:color w:val="231F20"/>
        </w:rPr>
      </w:pPr>
    </w:p>
    <w:p>
      <w:pPr>
        <w:ind w:left="680" w:right="100" w:hanging="328"/>
        <w:spacing w:after="0" w:line="257" w:lineRule="auto"/>
        <w:tabs>
          <w:tab w:leader="none" w:pos="68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Emission Certificate Pooling: </w:t>
      </w:r>
      <w:r>
        <w:rPr>
          <w:rFonts w:ascii="Times New Roman" w:cs="Times New Roman" w:eastAsia="Times New Roman" w:hAnsi="Times New Roman"/>
          <w:sz w:val="18"/>
          <w:szCs w:val="18"/>
          <w:color w:val="231F20"/>
        </w:rPr>
        <w:t>Many developed countries have environmental regulations and incentives that seek to reduce CO2</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emissions. For example, under EU regulation, any automotive manufacturer who fails to reduce the average emissions of its fleet sold in the EU to a specific CO2 emission per kilometer is subject to penalty payments. A manufacturer can avoid, or reduce, penalty payments, if it pools its emissions with those of manufacturers that exceed emission targets, such as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120"/>
        <w:spacing w:after="0" w:line="255" w:lineRule="auto"/>
        <w:rPr>
          <w:sz w:val="20"/>
          <w:szCs w:val="20"/>
          <w:color w:val="auto"/>
        </w:rPr>
      </w:pPr>
      <w:r>
        <w:rPr>
          <w:rFonts w:ascii="Times New Roman" w:cs="Times New Roman" w:eastAsia="Times New Roman" w:hAnsi="Times New Roman"/>
          <w:sz w:val="18"/>
          <w:szCs w:val="18"/>
          <w:color w:val="231F20"/>
        </w:rPr>
        <w:t>manufacturers of zero or low emission vehicles. The economic benefit is shared between the pooling participations, providing us with an additional source of revenue by selling our CO2 certificates to pooling partners. We believe that our ability to participate in these pooling arrangements will comprise a meaningful percentage of our future revenue stream during the first production cycle that we can generate at a relatively low cost.</w:t>
      </w:r>
    </w:p>
    <w:p>
      <w:pPr>
        <w:spacing w:after="0" w:line="178" w:lineRule="exact"/>
        <w:rPr>
          <w:sz w:val="20"/>
          <w:szCs w:val="20"/>
          <w:color w:val="auto"/>
        </w:rPr>
      </w:pPr>
    </w:p>
    <w:p>
      <w:pPr>
        <w:ind w:left="680" w:right="120" w:hanging="328"/>
        <w:spacing w:after="0" w:line="267" w:lineRule="auto"/>
        <w:tabs>
          <w:tab w:leader="none" w:pos="680" w:val="left"/>
        </w:tabs>
        <w:numPr>
          <w:ilvl w:val="0"/>
          <w:numId w:val="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Car-sharing and Ride-pooling Application: </w:t>
      </w:r>
      <w:r>
        <w:rPr>
          <w:rFonts w:ascii="Times New Roman" w:cs="Times New Roman" w:eastAsia="Times New Roman" w:hAnsi="Times New Roman"/>
          <w:sz w:val="17"/>
          <w:szCs w:val="17"/>
          <w:color w:val="231F20"/>
        </w:rPr>
        <w:t>We have developed a car-sharing and ride-pooling application, which will be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installed ex works in every Sion that is purchased by our customers. The application can also be added to any third-party vehicle at minimal cost to the owner. The application includes algorithmic technology that can match ride-seekers with drivers, and that can match drivers seeking temporary use of a car with owners seeking to rent out their vehicles. Matches are formed through a network of riders and car owners who have to be registered to use our services. We will receive commissions on each transaction booked through our application. In 2021, we generated incremental revenue from this platform of €5 thousand. In the six months ended June 30, 2022, we generated incremental revenue of €3 thousand from this platform. We anticipate that Sion owners will make up our initial market and that over time the network will grow to include owners of other vehicles as well.</w:t>
      </w:r>
    </w:p>
    <w:p>
      <w:pPr>
        <w:spacing w:after="0" w:line="17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We currently intend to focus on benefiting from economies of scale, controlling expenses and reducing significant capital expenditure to position us to become the price/value leader in our market. This approach is illustrated by our current strategy:</w:t>
      </w:r>
    </w:p>
    <w:p>
      <w:pPr>
        <w:spacing w:after="0" w:line="160" w:lineRule="exact"/>
        <w:rPr>
          <w:sz w:val="20"/>
          <w:szCs w:val="20"/>
          <w:color w:val="auto"/>
        </w:rPr>
      </w:pPr>
    </w:p>
    <w:p>
      <w:pPr>
        <w:ind w:left="680" w:right="280" w:hanging="328"/>
        <w:spacing w:after="0" w:line="279" w:lineRule="auto"/>
        <w:tabs>
          <w:tab w:leader="none" w:pos="68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One-Variant-Only: </w:t>
      </w:r>
      <w:r>
        <w:rPr>
          <w:rFonts w:ascii="Times New Roman" w:cs="Times New Roman" w:eastAsia="Times New Roman" w:hAnsi="Times New Roman"/>
          <w:sz w:val="18"/>
          <w:szCs w:val="18"/>
          <w:color w:val="231F20"/>
        </w:rPr>
        <w:t>The Sion is a one-variant-only model, resulting in economies of scale, less complexity, lower logistics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inventory costs and lower quality and testing risk.</w:t>
      </w:r>
    </w:p>
    <w:p>
      <w:pPr>
        <w:spacing w:after="0" w:line="155" w:lineRule="exact"/>
        <w:rPr>
          <w:rFonts w:ascii="Times New Roman" w:cs="Times New Roman" w:eastAsia="Times New Roman" w:hAnsi="Times New Roman"/>
          <w:sz w:val="18"/>
          <w:szCs w:val="18"/>
          <w:color w:val="231F20"/>
        </w:rPr>
      </w:pPr>
    </w:p>
    <w:p>
      <w:pPr>
        <w:ind w:left="680" w:right="300" w:hanging="328"/>
        <w:spacing w:after="0" w:line="279" w:lineRule="auto"/>
        <w:tabs>
          <w:tab w:leader="none" w:pos="68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No Sono Motors-Owned Factory: </w:t>
      </w:r>
      <w:r>
        <w:rPr>
          <w:rFonts w:ascii="Times New Roman" w:cs="Times New Roman" w:eastAsia="Times New Roman" w:hAnsi="Times New Roman"/>
          <w:sz w:val="18"/>
          <w:szCs w:val="18"/>
          <w:color w:val="231F20"/>
        </w:rPr>
        <w:t>We do not currently intend to own a factory, as the Sion will be produced in Uusikaupunki,</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Finland by the contract manufacturer Valmet Automotive.</w:t>
      </w:r>
    </w:p>
    <w:p>
      <w:pPr>
        <w:spacing w:after="0" w:line="155" w:lineRule="exact"/>
        <w:rPr>
          <w:rFonts w:ascii="Times New Roman" w:cs="Times New Roman" w:eastAsia="Times New Roman" w:hAnsi="Times New Roman"/>
          <w:sz w:val="18"/>
          <w:szCs w:val="18"/>
          <w:color w:val="231F20"/>
        </w:rPr>
      </w:pPr>
    </w:p>
    <w:p>
      <w:pPr>
        <w:ind w:left="680" w:right="100" w:hanging="328"/>
        <w:spacing w:after="0" w:line="279" w:lineRule="auto"/>
        <w:tabs>
          <w:tab w:leader="none" w:pos="68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Asset-Light Manufacturing: </w:t>
      </w:r>
      <w:r>
        <w:rPr>
          <w:rFonts w:ascii="Times New Roman" w:cs="Times New Roman" w:eastAsia="Times New Roman" w:hAnsi="Times New Roman"/>
          <w:sz w:val="18"/>
          <w:szCs w:val="18"/>
          <w:color w:val="231F20"/>
        </w:rPr>
        <w:t>The Sion’s polymer body eliminates the need for expensive steel stamping tools and the integration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of solar modules into the bodywork eliminates the need for a costly paint shop.</w:t>
      </w:r>
    </w:p>
    <w:p>
      <w:pPr>
        <w:spacing w:after="0" w:line="155" w:lineRule="exact"/>
        <w:rPr>
          <w:rFonts w:ascii="Times New Roman" w:cs="Times New Roman" w:eastAsia="Times New Roman" w:hAnsi="Times New Roman"/>
          <w:sz w:val="18"/>
          <w:szCs w:val="18"/>
          <w:color w:val="231F20"/>
        </w:rPr>
      </w:pPr>
    </w:p>
    <w:p>
      <w:pPr>
        <w:ind w:left="680" w:right="400" w:hanging="328"/>
        <w:spacing w:after="0" w:line="262" w:lineRule="auto"/>
        <w:tabs>
          <w:tab w:leader="none" w:pos="68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Use of Off-the-shelf Components: </w:t>
      </w:r>
      <w:r>
        <w:rPr>
          <w:rFonts w:ascii="Times New Roman" w:cs="Times New Roman" w:eastAsia="Times New Roman" w:hAnsi="Times New Roman"/>
          <w:sz w:val="18"/>
          <w:szCs w:val="18"/>
          <w:color w:val="231F20"/>
        </w:rPr>
        <w:t>Certain standard automotive parts will be sourced as off-the-shelf components from</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established automotive suppliers, allowing us to save development costs and position ourselves to benefit from economies of scale.</w:t>
      </w:r>
    </w:p>
    <w:p>
      <w:pPr>
        <w:spacing w:after="0" w:line="171" w:lineRule="exact"/>
        <w:rPr>
          <w:rFonts w:ascii="Times New Roman" w:cs="Times New Roman" w:eastAsia="Times New Roman" w:hAnsi="Times New Roman"/>
          <w:sz w:val="18"/>
          <w:szCs w:val="18"/>
          <w:color w:val="231F20"/>
        </w:rPr>
      </w:pPr>
    </w:p>
    <w:p>
      <w:pPr>
        <w:ind w:left="680" w:right="20" w:hanging="328"/>
        <w:spacing w:after="0" w:line="279" w:lineRule="auto"/>
        <w:tabs>
          <w:tab w:leader="none" w:pos="68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Online Direct Sales: </w:t>
      </w:r>
      <w:r>
        <w:rPr>
          <w:rFonts w:ascii="Times New Roman" w:cs="Times New Roman" w:eastAsia="Times New Roman" w:hAnsi="Times New Roman"/>
          <w:sz w:val="18"/>
          <w:szCs w:val="18"/>
          <w:color w:val="231F20"/>
        </w:rPr>
        <w:t>We believe that online direct sales will allow us to reduce distribution costs by approximately 15%, as we do</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not have to pay dealer margins.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Financial Condition and Results of Operation</w:t>
      </w:r>
    </w:p>
    <w:p>
      <w:pPr>
        <w:spacing w:after="0" w:line="22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Start of Serial Production of the Sion</w:t>
      </w:r>
    </w:p>
    <w:p>
      <w:pPr>
        <w:spacing w:after="0" w:line="22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currently do not generate any material revenue from our operations and do not expect to generate material revenue until we start production and delivery of the Sion. We believe that being one of the first manufacturers of solar electric vehicles will enable us to immediately capture a share of the market. While the Sion is not yet commercially available, we have received significant reservations and advance payments from customers for the Sion. Our customers may cancel a reservation without penalty according to our general terms and conditions, if no binding purchase agreement has been concluded by an agreed deadline. The relevant deadline agreed on with the customers reflected the start of serial production envisaged by us at the time the relevant reservations were made. The timing of such permitted cancellations varies, as we have amended our general terms and conditions extending the relevant cancellation deadline to reflect delays of the intended commencement of serial production of our vehicles. We have also asked some of our customers to agree to amendments of our terms and conditions that extended the date at which customers may cancel a reservation. However, not all customers who previously placed a reservation have yet accepted such amended terms and conditions. As of August 31, 2022, 25% of our advance payments were cancelable. An additional 54% will be cancelable on January 1, 2023, an additional 15% on August 1, 2023 and an additional 6% on January 1, 2024.</w:t>
      </w:r>
    </w:p>
    <w:p>
      <w:pPr>
        <w:spacing w:after="0" w:line="193"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While we finalize development and prepare the launch of production of the Sion, we offered selected customers who made an advance payment for the Sion to convert this advance payment into a lease contract for a Renault Zoe in 2020. This offer allowed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consumers to already drive an electric car and positioned us to avoid cancellations and generate income from commissions we receive for every lease agreement entered into. We renewed this offer in 2021 under slightly modified conditions and, in addition, provided Sion reservation holders with our option to lease a vehicle at discounted conditions from a start-up car rental company, that claims to focus on sustainability. Through December 31, 2021, we issued vouchers for €0.4 million, of which €0.3 million were used prior to the end of the program. We may continue to provide similar offers in the future to bridge the period until we make deliveries to our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 of Our Solar Technology</w:t>
      </w:r>
    </w:p>
    <w:p>
      <w:pPr>
        <w:spacing w:after="0" w:line="22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As of September 30, 2022, we have 4 patents granted and 26 patents or patent/utility model applications filed. Our patent applications mainly relate to our solar technology. We also plan to license our technologies to third parties. We have already received purchase orders or entered into several non-binding letters of intent for partnerships, including with manufacturers of trailers, autonomous electric shuttles, trains, trucks, buses and boats that may use our technology in their own products. We may also consider the development, general contracting and sale of certain selected solar components to third parties. These activities allow us to start generating limited revenue before we start selling the Sion and could potentially position us to be less dependent on sales of the 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Control Cost of Sales</w:t>
      </w:r>
    </w:p>
    <w:p>
      <w:pPr>
        <w:spacing w:after="0" w:line="22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When we start selling the Sion, our profitability will depend on our ability to organize the manufacturing of the Sion in an efficient manner. As part of the manufacturing process, we will purchase a wide variety of components, raw materials, and other supplies. Due to our solar technology, we are able to significantly reduce the battery costs and expenses for painting the body of the Sion. We expect that our cost of sales will be affected primarily by our production volume. Our cost of sales will also be affected, to a lesser extent, by fluctuations in certain raw material prices. As our business grows in scale, we expect to have higher bargaining power and hence more favorable terms from suppliers, including pricing and payment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Execution of Effective Marketing</w:t>
      </w:r>
    </w:p>
    <w:p>
      <w:pPr>
        <w:spacing w:after="0" w:line="222"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Our ability to execute effective marketing will affect the growth of our reservations. Demand for the Sion will directly affect our sales volume, which will in turn contribute to our revenue growth and our ability to achieve profitability. Vehicle reservations may depend, in part, on whether prospective customers find our vehicles more affordable and convenient than other environmentally friendly vehicles, which in turn depends on prospective customers’ perception of our brand and the advantages of our solar technology. We guide our marketing expenditure by analyzing the effectiveness of marketing channels based on our needs at various stages of sales and brand awareness. Effective marketing can help amplify our efforts in efficiently increasing vehicle reservations.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Expenses</w:t>
      </w:r>
    </w:p>
    <w:p>
      <w:pPr>
        <w:spacing w:after="0" w:line="222" w:lineRule="exact"/>
        <w:rPr>
          <w:sz w:val="20"/>
          <w:szCs w:val="20"/>
          <w:color w:val="auto"/>
        </w:rPr>
      </w:pPr>
    </w:p>
    <w:p>
      <w:pPr>
        <w:ind w:right="80" w:firstLine="353"/>
        <w:spacing w:after="0" w:line="253" w:lineRule="auto"/>
        <w:rPr>
          <w:sz w:val="20"/>
          <w:szCs w:val="20"/>
          <w:color w:val="auto"/>
        </w:rPr>
      </w:pPr>
      <w:r>
        <w:rPr>
          <w:rFonts w:ascii="Times New Roman" w:cs="Times New Roman" w:eastAsia="Times New Roman" w:hAnsi="Times New Roman"/>
          <w:sz w:val="18"/>
          <w:szCs w:val="18"/>
          <w:color w:val="auto"/>
        </w:rPr>
        <w:t>We will continue to incur significant expenses related to the development of the Sion as well as refinement of our technology. We expect that our research and development expenses will constitute the most substantial part of our expenses in future periods. We will only incur development expenses to the extent we believe that we are able to secure necessary financing. Based on our business plan, we will depend on significant additional financing for additional development activities, start of serial production and obtaining street certification. Elevated inflation levels, should they persist, may lead to an increase in our development costs and financing needs.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w:t>
      </w:r>
    </w:p>
    <w:p>
      <w:pPr>
        <w:spacing w:after="0" w:line="22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operate on an asset-light basis, which means that our capital expenditure is very limited. The Sion will be produced by a contract manufacturer, the Sion’s polymer body eliminates the need for expensive steel stamping tools and certain standard automotive parts will be sourced as off-the-shelf components. Accordingly, we expect our investments outside of research and development and ongoing general and administrative expenses to be of a limited nature. Between 2021 and the planned start of production of the Sion in the second half of 2023, we expect significant capital expenditure to be borne by us for hard and soft tooling. Pursuant to our term sheet with Valmet Automotive, we committed to make investments in the amount of approximately €28 million until June 2022 to cover costs and investments made by Valmet Automotive. Between July 2022 and start of production in the second half of 2023, the term sheet provides for additional investments of €86 million.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Unused Tax Loss</w:t>
      </w:r>
    </w:p>
    <w:p>
      <w:pPr>
        <w:spacing w:after="0" w:line="22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have substantial carried-forward tax losses resulting from our negative taxable income in 2021, 2020 and prior fiscal years. Given that our estimated taxable income for the foreseeable future may not be sufficient to recover these carried-forward losses we have not recognized deferred tax assets on the balance sheet as of December 31, 2019, December 31, 2020 or December 31, 2021. Our unused tax losses as of December 31, 2021, for which no tax asset has been recognized were €112.0 million (corporate income tax) and €111.6 million (trade tax). Assuming a total tax rate of 32.98%, our unused corporate income and trade tax losses correspond to a potential undiscounted tax benefit of €36.9 million. Only up to 60% of our annual taxable income, to the extent such taxable income exceeds €1 million, may be offset against tax loss carry forwards. The remaining 40% of the taxable income is subject to corporate income and trade tax under the so-called minimum taxation rules. Annual taxable income for corporate income tax and trade tax purposes of up to €1 million could fully be offset against tax loss carry-forwards.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Stock Option Program (CSOP)</w:t>
      </w:r>
    </w:p>
    <w:p>
      <w:pPr>
        <w:spacing w:after="0" w:line="222"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In the first half of 2018, we set up two similar employee participation programs for our staff members and selected managers of the company based on virtual shares. In December 2020, we offered all participants of the aforementioned employee participation programs as well as six additional members of our staff to exchange their virtual shares for actual stock options under a newly set up employee participation program, our conversion stock option program (the “CSOP”), which is equity settled. As of December 31, 2021, 88 employees, including all those participating in the original employee participation program but one, have joined the CSOP. We recorded expenses in the amount of €32.2 million in 2020 and €1.9 million in 2021 for the implementation of the CSOP.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2" w:lineRule="exact"/>
        <w:rPr>
          <w:sz w:val="20"/>
          <w:szCs w:val="20"/>
          <w:color w:val="auto"/>
        </w:rPr>
      </w:pPr>
    </w:p>
    <w:p>
      <w:pPr>
        <w:jc w:val="both"/>
        <w:ind w:right="320" w:firstLine="318"/>
        <w:spacing w:after="0" w:line="268" w:lineRule="auto"/>
        <w:rPr>
          <w:sz w:val="20"/>
          <w:szCs w:val="20"/>
          <w:color w:val="auto"/>
        </w:rPr>
      </w:pPr>
      <w:r>
        <w:rPr>
          <w:rFonts w:ascii="Times New Roman" w:cs="Times New Roman" w:eastAsia="Times New Roman" w:hAnsi="Times New Roman"/>
          <w:sz w:val="17"/>
          <w:szCs w:val="17"/>
          <w:color w:val="auto"/>
        </w:rPr>
        <w:t>COVID-19 is still one of the globally dominant topics. In 2021, successful vaccination campaigns led to the lowering of state and private measures. In line with the economic recovery associated with these reliefs, the automotive industry in Germany expects a slight increase in the number of vehicles sold in 2021 as compared to the prior year, but expectations are still below the pre-COVID-19 level.</w:t>
      </w:r>
    </w:p>
    <w:p>
      <w:pPr>
        <w:spacing w:after="0" w:line="1"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8"/>
          <w:szCs w:val="18"/>
          <w:color w:val="auto"/>
        </w:rPr>
        <w:t>With regard to us, in the first half of 2021, COVID-19 had a slightly negative impact on advance payments received from customers. The impact of COVID-19 on the current situation continues to improve compared to 2020 but we are still negatively impacted compared to the pre-COVID-19 state.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Russo-Ukrainian War</w:t>
      </w:r>
    </w:p>
    <w:p>
      <w:pPr>
        <w:spacing w:after="0" w:line="22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has also negatively impacted suppliers located in the Ukraine, which negatively affected the availability of car components. The war could have a material impact on our results of operations, liquidity, and capital management. We will continue to monitor the situation and the effect of this development on our liquidity and capital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2" w:lineRule="exact"/>
        <w:rPr>
          <w:sz w:val="20"/>
          <w:szCs w:val="20"/>
          <w:color w:val="auto"/>
        </w:rPr>
      </w:pPr>
    </w:p>
    <w:p>
      <w:pPr>
        <w:jc w:val="both"/>
        <w:ind w:right="100" w:firstLine="318"/>
        <w:spacing w:after="0" w:line="260" w:lineRule="auto"/>
        <w:rPr>
          <w:sz w:val="20"/>
          <w:szCs w:val="20"/>
          <w:color w:val="auto"/>
        </w:rPr>
      </w:pPr>
      <w:r>
        <w:rPr>
          <w:rFonts w:ascii="Times New Roman" w:cs="Times New Roman" w:eastAsia="Times New Roman" w:hAnsi="Times New Roman"/>
          <w:sz w:val="18"/>
          <w:szCs w:val="18"/>
          <w:color w:val="auto"/>
        </w:rPr>
        <w:t>We recognize revenues primarily from the integration of our patented solar technology across other transportation platforms and from the Sono app, which provides an in-app booking and payment system and optional additional insurance. We expect to recognize revenues from the sale of the Sion after the start of production in the second half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2"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8"/>
          <w:szCs w:val="18"/>
          <w:color w:val="auto"/>
        </w:rPr>
        <w:t>In 2021 and the six months ended June 30, 2022, we recorded a marginal amount of cost of sales relating to monetization of our solar technology and launch of the Sono app. In 2019 and 2020, we did not incur any cost of sales as we only started monetizing our solar technology in the second half of 2021 and as the Sion’s production is currently only planned to start in the second half of 2023.</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expenses and selling, general and administrative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Research and Development</w:t>
      </w:r>
    </w:p>
    <w:p>
      <w:pPr>
        <w:spacing w:after="0" w:line="22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There were no research expenses included in the profit and loss of the Company in 2019, 2020 and 2021 and the six months ended June 30, 2022, as we did not perform research. Our development expenses consist of (i) personnel expenses for our development staff, including salaries and bonuses and the relevant share of expenses relating to the CSOP, (ii) development cost for prototypes, our car-sharing and ride-pooling application and solar integration, (iii) professional services and (iv) other expenses. Development costs are expensed as incurred. As the recognition criteria for the capitalization of development cost have not been met, all development expenses were recognized in profit or loss as incurred in 2020 and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222"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Our selling and distribution expenses consist of (i) employee compensation for employees responsible for marketing activities, such as roadshows, test rides and social media, including salaries and bonuses and the relevant share of expenses relating to the CSOP, (ii) marketing and promotional expenses, (iii) expenses for professional services and (iv)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2" w:lineRule="exact"/>
        <w:rPr>
          <w:sz w:val="20"/>
          <w:szCs w:val="20"/>
          <w:color w:val="auto"/>
        </w:rPr>
      </w:pPr>
    </w:p>
    <w:p>
      <w:pPr>
        <w:ind w:right="120" w:firstLine="318"/>
        <w:spacing w:after="0" w:line="272" w:lineRule="auto"/>
        <w:rPr>
          <w:sz w:val="20"/>
          <w:szCs w:val="20"/>
          <w:color w:val="auto"/>
        </w:rPr>
      </w:pPr>
      <w:r>
        <w:rPr>
          <w:rFonts w:ascii="Times New Roman" w:cs="Times New Roman" w:eastAsia="Times New Roman" w:hAnsi="Times New Roman"/>
          <w:sz w:val="17"/>
          <w:szCs w:val="17"/>
          <w:color w:val="auto"/>
        </w:rPr>
        <w:t>Our general and administrative expenses consist of (i) personnel expenses for employees responsible for areas such as finance, human resources, business development, administration, including salaries and bonuses and the relevant share of expenses relating to the CSOP,</w:t>
      </w:r>
    </w:p>
    <w:p>
      <w:pPr>
        <w:spacing w:after="0" w:line="1" w:lineRule="exact"/>
        <w:rPr>
          <w:sz w:val="20"/>
          <w:szCs w:val="20"/>
          <w:color w:val="auto"/>
        </w:rPr>
      </w:pPr>
    </w:p>
    <w:p>
      <w:pPr>
        <w:ind w:right="20" w:firstLine="7"/>
        <w:spacing w:after="0" w:line="252" w:lineRule="auto"/>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professional services, such as accounting, tax, legal and other external services, (iii) expenses without sufficient supporting documentation, including underlying invoices, and (iv) other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2" w:lineRule="exact"/>
        <w:rPr>
          <w:sz w:val="20"/>
          <w:szCs w:val="20"/>
          <w:color w:val="auto"/>
        </w:rPr>
      </w:pPr>
    </w:p>
    <w:p>
      <w:pPr>
        <w:ind w:right="640" w:firstLine="318"/>
        <w:spacing w:after="0" w:line="274" w:lineRule="auto"/>
        <w:rPr>
          <w:sz w:val="20"/>
          <w:szCs w:val="20"/>
          <w:color w:val="auto"/>
        </w:rPr>
      </w:pPr>
      <w:r>
        <w:rPr>
          <w:rFonts w:ascii="Times New Roman" w:cs="Times New Roman" w:eastAsia="Times New Roman" w:hAnsi="Times New Roman"/>
          <w:sz w:val="18"/>
          <w:szCs w:val="18"/>
          <w:color w:val="auto"/>
        </w:rPr>
        <w:t>Our other operating income primarily consists of agency fees, donations, statutory reimbursements for personnel expenses and government grants and in 2021 miscellaneous other operating income.</w:t>
      </w:r>
    </w:p>
    <w:p>
      <w:pPr>
        <w:spacing w:after="0" w:line="164"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Our other operating expenses primarily relate to foreign exchange losses resulting from the conversion of a portion of the IPO proceeds from USD to EUR in 2021 and solely included expenses that related to project terminations with a supplier in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Income</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and similar income relates to interest income from VAT taxes.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Expenses</w:t>
      </w:r>
    </w:p>
    <w:p>
      <w:pPr>
        <w:spacing w:after="0" w:line="222"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Interest and similar expenses largely consist of interest expenses related to the compounding effect for advance payments received from customers and financial liabilities.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0" w:lineRule="exact"/>
        <w:rPr>
          <w:sz w:val="20"/>
          <w:szCs w:val="20"/>
          <w:color w:val="auto"/>
        </w:rPr>
      </w:pPr>
    </w:p>
    <w:p>
      <w:pPr>
        <w:jc w:val="both"/>
        <w:ind w:right="480" w:firstLine="318"/>
        <w:spacing w:after="0" w:line="304" w:lineRule="auto"/>
        <w:rPr>
          <w:sz w:val="20"/>
          <w:szCs w:val="20"/>
          <w:color w:val="auto"/>
        </w:rPr>
      </w:pPr>
      <w:r>
        <w:rPr>
          <w:rFonts w:ascii="Times New Roman" w:cs="Times New Roman" w:eastAsia="Times New Roman" w:hAnsi="Times New Roman"/>
          <w:sz w:val="17"/>
          <w:szCs w:val="17"/>
          <w:color w:val="auto"/>
        </w:rPr>
        <w:t>The following table shows information taken from our consolidated statement of income (loss) and statements of comprehensive income (loss) for the years ended December 31, 2021, 2020 and 2019 and for the six months ended June 30, 2022 and June 30,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84"/>
        </w:trPr>
        <w:tc>
          <w:tcPr>
            <w:tcW w:w="40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79"/>
        </w:trPr>
        <w:tc>
          <w:tcPr>
            <w:tcW w:w="4080" w:type="dxa"/>
            <w:vAlign w:val="bottom"/>
          </w:tcPr>
          <w:p>
            <w:pPr>
              <w:spacing w:after="0"/>
              <w:rPr>
                <w:sz w:val="15"/>
                <w:szCs w:val="15"/>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166"/>
        </w:trPr>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 millions)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w w:val="99"/>
              </w:rPr>
              <w:t>(in € millions)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research and development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(30.5)</w:t>
            </w:r>
          </w:p>
        </w:tc>
        <w:tc>
          <w:tcPr>
            <w:tcW w:w="10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w:t>
            </w: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0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9"/>
                <w:szCs w:val="19"/>
                <w:color w:val="auto"/>
              </w:rPr>
            </w:pP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on financial assets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(59.2)</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(54.0)</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(60.1)</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(21.8)</w:t>
            </w: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(56.0)</w:t>
            </w:r>
          </w:p>
        </w:tc>
        <w:tc>
          <w:tcPr>
            <w:tcW w:w="10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(61.0)</w:t>
            </w: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9"/>
                <w:szCs w:val="19"/>
                <w:color w:val="auto"/>
              </w:rPr>
            </w:pP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9"/>
                <w:szCs w:val="19"/>
                <w:color w:val="auto"/>
              </w:rPr>
            </w:pP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(64.0)</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(56.0)</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(61.0)</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that will not be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reclassified to profit or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3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(63.9)</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(56.1)</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(61.0)</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In the six months ended June 30, 2022, we generated revenue of €42 thousand from the monetization of our solar technology and the Sono app, which provides an in-app booking and payment system as well as the option to obtain additional insurance. We had no revenue in the six months ended June 30,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2021, we generated marginal revenue of €16 thousand from the monetization of our solar technology and the launch of the Sono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2019 and 2020, we did not generate any revenue from our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jc w:val="both"/>
        <w:ind w:right="120" w:firstLine="318"/>
        <w:spacing w:after="0" w:line="260" w:lineRule="auto"/>
        <w:rPr>
          <w:sz w:val="20"/>
          <w:szCs w:val="20"/>
          <w:color w:val="auto"/>
        </w:rPr>
      </w:pPr>
      <w:r>
        <w:rPr>
          <w:rFonts w:ascii="Times New Roman" w:cs="Times New Roman" w:eastAsia="Times New Roman" w:hAnsi="Times New Roman"/>
          <w:sz w:val="18"/>
          <w:szCs w:val="18"/>
          <w:color w:val="auto"/>
        </w:rPr>
        <w:t>In the six months ended June 30, 2022, we recorded cost of sales of €142 thousand related to the monetization of our solar technology and our Sono app. Cost of sales included a change in provisions for onerous contracts and impairment of work in progress for loss making contracts. We had no cost of sales in the six months ended June 30, 2021.</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In 2021, we recorded a marginal amount of cost of sales of €58 thousand, relating to the monetization of our solar technology and the launch of our Sono app.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recorded no cost of sales in 2019 and 2020.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Loss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8"/>
          <w:szCs w:val="18"/>
          <w:color w:val="auto"/>
        </w:rPr>
        <w:t>In the six months ended June 30, 2022, we incurred a gross loss of €100 thousand relating to the monetization of our solar technology and the launch of our Sono app. As most of our revenues are currently generated from prototype projects, our gross loss reflects our planned and expected cost of sales in proportion to revenues at this stage of development as we prepare for market entry.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160" w:firstLine="318"/>
        <w:spacing w:after="0" w:line="260" w:lineRule="auto"/>
        <w:rPr>
          <w:sz w:val="20"/>
          <w:szCs w:val="20"/>
          <w:color w:val="auto"/>
        </w:rPr>
      </w:pPr>
      <w:r>
        <w:rPr>
          <w:rFonts w:ascii="Times New Roman" w:cs="Times New Roman" w:eastAsia="Times New Roman" w:hAnsi="Times New Roman"/>
          <w:sz w:val="18"/>
          <w:szCs w:val="18"/>
          <w:color w:val="auto"/>
        </w:rPr>
        <w:t>In 2021, we incurred a gross loss of €0.0 million relating to the monetization of our solar technology and the launch of our Sono app. As most of our revenues are currently generated from prototype projects, our gross loss reflects our planned and expected higher cost of sales in proportion to revenues at this stage of development as we prepare for market entry.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2019 and 2020, we did not generate gross profit.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Research and Development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jc w:val="both"/>
        <w:ind w:right="380" w:firstLine="318"/>
        <w:spacing w:after="0" w:line="260" w:lineRule="auto"/>
        <w:rPr>
          <w:sz w:val="20"/>
          <w:szCs w:val="20"/>
          <w:color w:val="auto"/>
        </w:rPr>
      </w:pPr>
      <w:r>
        <w:rPr>
          <w:rFonts w:ascii="Times New Roman" w:cs="Times New Roman" w:eastAsia="Times New Roman" w:hAnsi="Times New Roman"/>
          <w:sz w:val="18"/>
          <w:szCs w:val="18"/>
          <w:color w:val="auto"/>
        </w:rPr>
        <w:t>Cost of research and development increased from €12.8 million in the six months ended June 30, 2021 to €53.1 million in the six months ended June 30, 2022, primarily due to investments in the latest prototype generation, our SVV, and an increase in development personnel.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firstLine="318"/>
        <w:spacing w:after="0" w:line="275" w:lineRule="auto"/>
        <w:rPr>
          <w:sz w:val="20"/>
          <w:szCs w:val="20"/>
          <w:color w:val="auto"/>
        </w:rPr>
      </w:pPr>
      <w:r>
        <w:rPr>
          <w:rFonts w:ascii="Times New Roman" w:cs="Times New Roman" w:eastAsia="Times New Roman" w:hAnsi="Times New Roman"/>
          <w:sz w:val="17"/>
          <w:szCs w:val="17"/>
          <w:color w:val="auto"/>
        </w:rPr>
        <w:t>Cost of research and development increased from €30.5 million in 2020 to €40.6 million in 2021, primarily due to an expansion in efforts on the development of the new prototype generation, leading to development costs for prototypes, including other development costs, of €27.6 million in 2021 compared to €8.2 million in 2020. In parallel, personnel expenses decreased significantly from €21.7 million in 2020 to €11.3 million in 2021, as 2020 expenses included €17.7 million costs related to the CSOP compared to €1.1 million in 2021.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Cost of research and development increased from €4.9 million in 2019 to €30.5 million in 2020, primarily due to an increase in personnel expenses for our development staff resulting from the implementation of our CSOP in 2020, which accounted for expenses of €17.7 million. In addition, development costs for prototypes and other development costs increased from €2.1 million in 2019 to €8.2 million in 2020 resulting from the development of our new prototypes. In 2019 and 2020, there were no research expenses, as we do not perform research. As the recognition criteria for the capitalization of development cost have not been met, all development expenses were recognized in profit or loss as incurred in 2019 and 2020.</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Selling and distribution expenses decreased from €1.6 million in the six months ended June 30, 2021 to €1.0 million in the six months ended June 30, 2022 due to a decrease in expenses for external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Selling and distribution expenses decreased from €9.1 million in 2020 to €3.2 million in 2021, primarily due to a decrease in expenses related to the CSOP from €6.9 million in 2020 to nil in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Selling and distribution expenses increased from €2.1 million in 2019 to €9.1 million in 2020, primarily due to an increase in personnel expenses for our employees responsible for marketing activities resulting from the implementation of our CSOP, which accounted for expenses of €6.9 million in 2020. Additionally, selling and distribution expenses mainly consisted of personnel expenses for employees responsible for marketing activities such as roadshows, test rides and social media.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decreased slightly from €7.7 million in the six months ended June 30, 2021 to €7.6 million in the six months ended June 30, 2022. While expenses for professional services and personnel remained at levels similar to the same period in 2021, we experienced impairment expenses of €1.9 million in the six months ended June 30, 2021, while we had no such impairment expense in the six months ended June 30, 2022. Other general and administrative expenses increased from €0.5 million to €2.1 million, mainly due to expenses for insurance and software.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expenses increased from €14.4 million in 2020 to €15.1 million in 2021, primarily due to higher expenses for professional services, which increased from €4.8 million in 2020 to €7.0 million in 2021. The increase of expenses for professional services mainly concerned services related to the initial preparation and audit of our IFRS financial statements. Personnel expenses decreased from €9.1 million in 2020 to €4.6 million in 2021, primarily due to a decrease in expenses related to the CSOP from €7.5 million in 2020 to €0.8 million in 2021. In 2021, an impairment loss of €2.0 million for assets related to the tooling of batteries intended for the development of prototypes was recognized under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right="140" w:firstLine="318"/>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increased from €2.4 million in 2019 to €14.4 million in 2020, primarily due to an increase in personnel expenses for employees responsible for areas such as finance, human resources, business development and administration resulting from the implementation of our CSOP, which accounted for expenses of €7.5 million in 2020. In addition, expenses for professional services increased from €0.7 million in 2019 to €4.8 million in 2020 resulting from accounting, tax and legal services as well as other external services related to the initial preparation and audit of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Other operating income/expenses increased from income of €0.4 million in the six months ended June 30, 2021 to income of €1.8 million in the six months ended June 30, 2022. This increase was mainly due to the currency valuation of cash and cash equivalents, which contributed income of €1.6 million to other operating income/expenses in the six months ended June 30, 2022, while there was no comparable income in the six months ended June 30, 2021.</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In 2021, other operating income decreased slightly from €0.3 million in 2020 to €0.2 million resulting from decreased income from the Renault Zoe conversion, partially offset by miscellaneous other operating income.</w:t>
      </w:r>
    </w:p>
    <w:p>
      <w:pPr>
        <w:spacing w:after="0" w:line="164"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Other operating expenses increased from €0.3 million in 2020 to €0.5 million in 2021. Other operating expenses in 2021 mainly relate to foreign exchange losses resulting from the conversion of a portion of the IPO proceeds from USD to EUR, while in 2020, other operating expenses related solely to expenses arising from a project termination with a supplier.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Other operating income increased from €0.2 million in 2019 to €0.3 million in 2020. In 2020, other operating income mainly included agency fees from a conversion offer, which allowed selected customers who made advance payments to enter into a lease agreement with Renault for a Renault ZOE and to use their advance payments to partly offset their lease payments, donations, statutory reimbursements for personnel expenses and government grants. This conversion offer ended in 2020.</w:t>
      </w:r>
    </w:p>
    <w:p>
      <w:pPr>
        <w:spacing w:after="0" w:line="182" w:lineRule="exact"/>
        <w:rPr>
          <w:sz w:val="20"/>
          <w:szCs w:val="20"/>
          <w:color w:val="auto"/>
        </w:rPr>
      </w:pPr>
    </w:p>
    <w:p>
      <w:pPr>
        <w:ind w:right="480" w:firstLine="353"/>
        <w:spacing w:after="0" w:line="274" w:lineRule="auto"/>
        <w:rPr>
          <w:sz w:val="20"/>
          <w:szCs w:val="20"/>
          <w:color w:val="auto"/>
        </w:rPr>
      </w:pPr>
      <w:r>
        <w:rPr>
          <w:rFonts w:ascii="Times New Roman" w:cs="Times New Roman" w:eastAsia="Times New Roman" w:hAnsi="Times New Roman"/>
          <w:sz w:val="18"/>
          <w:szCs w:val="18"/>
          <w:color w:val="auto"/>
        </w:rPr>
        <w:t>Other operating expenses amounted to €0.3 million in 2020 and solely included expenses relating to a project termination with a supplier.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Loss for the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right="140" w:firstLine="353"/>
        <w:spacing w:after="0" w:line="255" w:lineRule="auto"/>
        <w:rPr>
          <w:sz w:val="20"/>
          <w:szCs w:val="20"/>
          <w:color w:val="auto"/>
        </w:rPr>
      </w:pPr>
      <w:r>
        <w:rPr>
          <w:rFonts w:ascii="Times New Roman" w:cs="Times New Roman" w:eastAsia="Times New Roman" w:hAnsi="Times New Roman"/>
          <w:sz w:val="18"/>
          <w:szCs w:val="18"/>
          <w:color w:val="auto"/>
        </w:rPr>
        <w:t>Operating loss increased from €21.8 million in the six months ended June 30, 2021 to €60.1 million in the six months ended June 30, 2022, primarily due to an increase in cost of research and development. Including the impact of interest and similar income, interest and similar expense and taxes on income, loss for the period increased from €24.4 million in the six months ended June 30, 2021 to €61.0 million in the six months ended June 30,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8"/>
          <w:szCs w:val="18"/>
          <w:color w:val="auto"/>
        </w:rPr>
        <w:t>Operating loss increased from €54.0 million in 2020 to €59.2 million in 2021, primarily due to an increase in cost of research and development and general and administrative expenses. Including the impact of interest and similar income, of interest and similar expenses and tax on income, loss for the period increased from €56.0 million in 2020 to €64.0 million in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Operating loss increased from a loss of €9.3 million in 2019 to a loss of €54.0 million in 2020 primarily due to an increase in personnel expenses resulting from the implementation of our CSOP, the development of our new prototypes and professional services primarily relating to the preparation and audit of our consolidated financial statements and other professional services relating to the issue of our pre-IPO mandatory convertible bonds and our IPO. Subtracting other interest and similar income and subtracting interest and other expenses and tax on income, loss for the period increased from a loss of €10.0 million in 2019 to a loss of €56.0 million in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As of August 31, 2022, cash and cash equivalents were at €66.1 million compared to €89.8 million as of June 30, 2022 and €132.9 million as of December 31, 2021. Cash and cash equivalents consist primarily of cash in bank accounts.</w:t>
      </w:r>
    </w:p>
    <w:p>
      <w:pPr>
        <w:spacing w:after="0" w:line="164"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We are in the process of developing a solar electric vehicle, the Sion. We currently do not generate any material revenue from our operations. We incur, however, significant expenses related to the development of the Sion, refinement of our technology, marketing activities and general and administrative functions. In order to cover these expenses and prepare for production of the Sion, we rely on external financing and expect to continue to rely on external financing. We have been and are actively considering various financing options, including registered offerings of newly issued shares and other equity securities. We have mainly raised capital in the form of equity or debt capital. We have also raised capital through advance payments on reservations for the Sion, some of which we received from customers through PayPal. We were not able to access all of these advance payments received through PayPal within the financial year 2021 due to PayPal’s relevant terms and conditions. Therefore, the PayPal reserve was classified as other current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financial assets as of December 31, 2021. In February 2022 the reserve amounting to €5.9 million was released and transferred to the current bank account of Sono Group N.V. Customers may cancel their reservations for the Sion, in which case we will have to refund the advance payment. In 2021, net financing from advance payments from customers was €4.3 million. We have also raised funds through the placement of pre-IPO mandatory convertible bonds in November 2020 as well as through our IPO in November 2021, our follow on offering in May 2022 and the committed equity financing entered into in June 2022. Finally, we have received limited grants from government agencies and similar bodies like the EU for participation in specific research and development projects. Our ability to raise external financing has been, and will continue to be, highly dependent on further progress in the development of the Sion and successful communication to potential external investors.</w:t>
      </w:r>
    </w:p>
    <w:p>
      <w:pPr>
        <w:spacing w:after="0" w:line="185"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Our forecast cash required to fund investments and operations, excluding future financing plans and counter measures to be taken by management, indicates that we currently do not have sufficient funds to fund our operations as currently planned through the twelve-month period from the date of this prospectus. Our ability to continue as a going concern is largely dependent on our ability to raise additional funds through debt or equity transactions, additional advance payments, or other means, and ultimately, to achieve serial production of the Sion. We currently expect that we will need at least €242 million in external funding until the start of production of the Sion. In order to meet the targeted date for the start of production, we expect that we need to raise approximately half of the required external funding in the fourth quarter of 2022 and the remainder in 2023. We face challenges in raising such an amount of funding in this timeframe or at all, including due to the challenging capital markets environment, and therefore it is uncertain if sufficient financing can be obtained to continue as a going concern and further to achieve serial production of the Sion. If we are unsuccessful in raising sufficient capital, we will be forced to undertake substantial cost-cutting measures in order to maintain minimum liquidity. Risks and uncertainties related to the supply chain, negative cost development, technical challenges, such as obtaining road certification or required changes in construction, the ongoing corona pandemic — especially in China — and the war in Ukraine may further negatively affect our business, ability to reach serial production of the car, liquidity and financial position going forward.</w:t>
      </w:r>
    </w:p>
    <w:p>
      <w:pPr>
        <w:spacing w:after="0" w:line="191"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Additional financing will be necessary to undertake additional development activities for the car and solar technology to begin serial production and pay overhead costs.</w:t>
      </w:r>
    </w:p>
    <w:p>
      <w:pPr>
        <w:spacing w:after="0" w:line="164" w:lineRule="exact"/>
        <w:rPr>
          <w:sz w:val="20"/>
          <w:szCs w:val="20"/>
          <w:color w:val="auto"/>
        </w:rPr>
      </w:pPr>
    </w:p>
    <w:p>
      <w:pPr>
        <w:ind w:right="160" w:firstLine="318"/>
        <w:spacing w:after="0" w:line="304" w:lineRule="auto"/>
        <w:rPr>
          <w:sz w:val="20"/>
          <w:szCs w:val="20"/>
          <w:color w:val="auto"/>
        </w:rPr>
      </w:pPr>
      <w:r>
        <w:rPr>
          <w:rFonts w:ascii="Times New Roman" w:cs="Times New Roman" w:eastAsia="Times New Roman" w:hAnsi="Times New Roman"/>
          <w:sz w:val="17"/>
          <w:szCs w:val="17"/>
          <w:color w:val="auto"/>
        </w:rPr>
        <w:t>See also Note 4.13.1 to the audited consolidated financial statements as of and for the year ended December 31, 2021 and Note 4.1 to the interim condensed consolidated financial statements as of and for the six months ended June 30, 2022 included in this prospectus.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Cash Flows</w:t>
      </w:r>
    </w:p>
    <w:p>
      <w:pPr>
        <w:spacing w:after="0" w:line="222"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selected information taken from our consolidated cash flow statements for the years ended December 31, 2021, 2020 and 2019 and for the six months ended June 30, 2022 and June 30,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10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84"/>
        </w:trPr>
        <w:tc>
          <w:tcPr>
            <w:tcW w:w="38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79"/>
        </w:trPr>
        <w:tc>
          <w:tcPr>
            <w:tcW w:w="3840" w:type="dxa"/>
            <w:vAlign w:val="bottom"/>
          </w:tcPr>
          <w:p>
            <w:pPr>
              <w:spacing w:after="0"/>
              <w:rPr>
                <w:sz w:val="15"/>
                <w:szCs w:val="15"/>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166"/>
        </w:trPr>
        <w:tc>
          <w:tcPr>
            <w:tcW w:w="3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 millions)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(in € millions)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r>
      <w:tr>
        <w:trPr>
          <w:trHeight w:val="22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r>
      <w:tr>
        <w:trPr>
          <w:trHeight w:val="22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r>
      <w:tr>
        <w:trPr>
          <w:trHeight w:val="205"/>
        </w:trPr>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(decrease) increase in cash and cash</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(44.7)</w:t>
            </w:r>
          </w:p>
        </w:tc>
        <w:tc>
          <w:tcPr>
            <w:tcW w:w="3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(17.1)</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21"/>
                <w:szCs w:val="21"/>
                <w:color w:val="auto"/>
              </w:rPr>
            </w:pPr>
          </w:p>
        </w:tc>
      </w:tr>
      <w:tr>
        <w:trPr>
          <w:trHeight w:val="22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132.9</w:t>
            </w:r>
          </w:p>
        </w:tc>
        <w:tc>
          <w:tcPr>
            <w:tcW w:w="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60" w:type="dxa"/>
            <w:vAlign w:val="bottom"/>
          </w:tcPr>
          <w:p>
            <w:pPr>
              <w:spacing w:after="0"/>
              <w:rPr>
                <w:sz w:val="19"/>
                <w:szCs w:val="19"/>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right="340" w:firstLine="318"/>
        <w:spacing w:after="0" w:line="260" w:lineRule="auto"/>
        <w:rPr>
          <w:sz w:val="20"/>
          <w:szCs w:val="20"/>
          <w:color w:val="auto"/>
        </w:rPr>
      </w:pPr>
      <w:r>
        <w:rPr>
          <w:rFonts w:ascii="Times New Roman" w:cs="Times New Roman" w:eastAsia="Times New Roman" w:hAnsi="Times New Roman"/>
          <w:sz w:val="18"/>
          <w:szCs w:val="18"/>
          <w:color w:val="auto"/>
        </w:rPr>
        <w:t>Net cash used in operating activities changed from a cash outflow of €17.3 million in the six months ended June 30, 2021 to a cash outflow of €59.0 million in the six months ended June 30, 2022. This change was mainly due to an overall increase in cash effective operating costs, especially for development costs of prototypes and other development costs.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changed from a cash outflow of €1.2 million in 2020 to a cash outflow of €47.1 million in 2021. This change was mainly due to an overall increase in operating costs, especially for development costs of prototypes, other development costs, professional services, and lower advance payments received from customers due to the conclusion of crowdfunding campaign in 2020 and an increase in the cash effective loss for the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increased from a cash outflow of €8.8 million in 2019 to a cash outflow of €1.2 million in 2020. An increase in our operating loss of €10.0 million in 2019 to €56.0 million in 2020 adjusted for non-cash items (primarily relating to expenses for our CSOP) as well as a cash outflow relating to an increase in other assets was offset by a cash inflow of €26.4 million relating to an increase of reservations with advance payments from our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right="220" w:firstLine="318"/>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increased from a cash outflow of €0.9 million in the six months ended June 30, 2021 to a cash outflow of €24.0 million in the six months ended June 30, 2022, mainly due to advance payments made for tools to be used for the future production of the 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changed from a cash outflow of €0.0 million in 2020 to a cash outflow of €1.7 million in 2021, primarily due to additional purchases of property, plant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increased from a cash outflow of €1.1 million in 2019 to a cash outflow of €0.0 million in 2020, primarily due to a decrease of cash outflows relating to purchase of property, plant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 Periods ended June 30, 2021 and 2022</w:t>
      </w:r>
    </w:p>
    <w:p>
      <w:pPr>
        <w:spacing w:after="0" w:line="220"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8"/>
          <w:szCs w:val="18"/>
          <w:color w:val="auto"/>
        </w:rPr>
        <w:t>Net cash from financing activities increased from a cash inflow of €1.2 million in the six months ended June 30, 2021 to a cash inflow of €38.3 million in the six months ended June 30, 2022. This increase was mainly the result of the net proceeds from the placement of newly issued shares in our follow-on offering in May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2021</w:t>
      </w:r>
    </w:p>
    <w:p>
      <w:pPr>
        <w:spacing w:after="0" w:line="220" w:lineRule="exact"/>
        <w:rPr>
          <w:sz w:val="20"/>
          <w:szCs w:val="20"/>
          <w:color w:val="auto"/>
        </w:rPr>
      </w:pPr>
    </w:p>
    <w:p>
      <w:pPr>
        <w:ind w:right="320" w:firstLine="318"/>
        <w:spacing w:after="0" w:line="260" w:lineRule="auto"/>
        <w:rPr>
          <w:sz w:val="20"/>
          <w:szCs w:val="20"/>
          <w:color w:val="auto"/>
        </w:rPr>
      </w:pPr>
      <w:r>
        <w:rPr>
          <w:rFonts w:ascii="Times New Roman" w:cs="Times New Roman" w:eastAsia="Times New Roman" w:hAnsi="Times New Roman"/>
          <w:sz w:val="18"/>
          <w:szCs w:val="18"/>
          <w:color w:val="auto"/>
        </w:rPr>
        <w:t>Net cash from financing activities increased from a cash inflow of €44.1 million in 2020, which mainly included proceeds from the issue of shares to private investors and from borrowings in connection with our last funding round before the IPO, to a cash inflow of €138.6 million in 2021, which mainly included proceeds from our IPO.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2019 and 2020</w:t>
      </w:r>
    </w:p>
    <w:p>
      <w:pPr>
        <w:spacing w:after="0" w:line="220" w:lineRule="exact"/>
        <w:rPr>
          <w:sz w:val="20"/>
          <w:szCs w:val="20"/>
          <w:color w:val="auto"/>
        </w:rPr>
      </w:pPr>
    </w:p>
    <w:p>
      <w:pPr>
        <w:jc w:val="both"/>
        <w:ind w:right="460" w:firstLine="318"/>
        <w:spacing w:after="0" w:line="260" w:lineRule="auto"/>
        <w:rPr>
          <w:sz w:val="20"/>
          <w:szCs w:val="20"/>
          <w:color w:val="auto"/>
        </w:rPr>
      </w:pPr>
      <w:r>
        <w:rPr>
          <w:rFonts w:ascii="Times New Roman" w:cs="Times New Roman" w:eastAsia="Times New Roman" w:hAnsi="Times New Roman"/>
          <w:sz w:val="18"/>
          <w:szCs w:val="18"/>
          <w:color w:val="auto"/>
        </w:rPr>
        <w:t>Net cash from financing activities increased from a cash inflow of €8.8 million in 2019 to a cash inflow of €44.1 million in 2020, primarily due to an increase of proceeds from the issue of shares to private investors and from borrowings in connection with our last funding round before the IPO.</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the maturity profile of our financial liabilities based on contractual undiscounted payments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1–5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71"/>
        </w:trPr>
        <w:tc>
          <w:tcPr>
            <w:tcW w:w="6320" w:type="dxa"/>
            <w:vAlign w:val="bottom"/>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126"/>
        </w:trPr>
        <w:tc>
          <w:tcPr>
            <w:tcW w:w="6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3"/>
          </w:tcPr>
          <w:p>
            <w:pPr>
              <w:jc w:val="right"/>
              <w:ind w:right="337"/>
              <w:spacing w:after="0" w:line="126" w:lineRule="exact"/>
              <w:rPr>
                <w:sz w:val="20"/>
                <w:szCs w:val="20"/>
                <w:color w:val="auto"/>
              </w:rPr>
            </w:pPr>
            <w:r>
              <w:rPr>
                <w:rFonts w:ascii="Times New Roman" w:cs="Times New Roman" w:eastAsia="Times New Roman" w:hAnsi="Times New Roman"/>
                <w:sz w:val="14"/>
                <w:szCs w:val="14"/>
                <w:b w:val="1"/>
                <w:bCs w:val="1"/>
                <w:color w:val="auto"/>
              </w:rPr>
              <w:t>(in € millions)</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220"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Other than as disclosed elsewhere in this prospectus, we are not aware of any trends, uncertainties, demands, commitments or events since June 30, 2022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critical accounting estimates and judgments are described in Note 4.1 to our interim condensed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 Solar on Every Vehicle</w:t>
      </w:r>
    </w:p>
    <w:p>
      <w:pPr>
        <w:spacing w:after="0" w:line="220"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We envision a world that no longer relies on the burning of fossil fuels. Our business was founded on a shared passion for finding a solution to climate-friendly, innovative and yet affordable mobility. The goal was to develop a solar-powered, family-sized car for the mass market. To realize this goal, our founders assembled an experienced team of engineers, designers, technicians, and industry experts who spent years developing solar technology suited for mobility applications. We developed and tested several prototypes to advance and refine our technology and enlisted driver feedback to create a design that would be simultaneously functional, convenient to operate, environmentally sustainable, and affordable.</w:t>
      </w:r>
    </w:p>
    <w:p>
      <w:pPr>
        <w:spacing w:after="0" w:line="187"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From this process the Sion and our proprietary solar technology were born. The Sion is a solar electric vehicle, designed with a view to be accessible to everyday consumers and to be shared. Our technology allows us to integrate solar panels into the Sion’s bodywork to capture energy from the sun and store it in the Sion’s on-board battery. We believe the Sion unlocks the potential of solar energy in a car and advances our goal of providing a net-zero-emission vehicle solution for the mass market. We seek to license and sell our proprietary solar technology in order to accelerate the transition towards sustainable transport.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We believe we are a pioneer and technological leader in the field of solar-powered electric mobility. We intend to use our technology to create our solar and battery powered vehicle, the Sion. Our proprietary solar technology has, however, many other potential applications. We believe that our solar technology is suitable for different uses, such as buses, trucks, camper vans, trains and even boats, and has the potential to accelerate the transition towards sustainable transportation. We have successfully started to market, and are already generating limited revenues from, our proprietary solar technology.</w:t>
      </w:r>
    </w:p>
    <w:p>
      <w:pPr>
        <w:spacing w:after="0" w:line="182"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disruptive solar technology allows for full solar integration. In the process of developing the Sion, we soon realized that the available solar technology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and avoids the risk of bodily harm caused by broken glass. We have also developed other critical components for the use of solar technology in mobility applications. We have, through our MCU, solved the issue that solar cells will be mounted on different parts of the exterior, which will lead to uneven exposure to sunlight. Our technology allows for the seamless integration of solar cells into the full body of a car, such as the Sion, and the charging of its battery through the power of the sun. However, solar technology has many other potential applications, and its use cases extend far beyond passenger cars, allowing for grid-independent charging and a reduction of running costs or total costs of ownership in transport-related use cases, such as trucks, buses, recreational vehicles and boats. Fleet operators may use our technology to retrofit existing vehicles, to extend the range of BEVs or to comply with emission regulations. The transport and logistics industries in particular are very focused on total cost of ownership, and we believe our solar integration can reduce their running costs significantly. Manufacturers may also use our technology for new production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vehicles. We have several patents granted or within the filing-process protecting our proprietary technology. The following graphic shows the expected timeline for retrofitting and series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098540" cy="29648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98540" cy="296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ICE: Internal Combustion Engine</w:t>
      </w:r>
    </w:p>
    <w:p>
      <w:pPr>
        <w:spacing w:after="0" w:line="218"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auto"/>
        </w:rPr>
        <w:t>Our technology will be one of the distinctive features of the Sion. It will have the ability to recharge itself using solar energy panels installed on the exterior that leverage our polymer-based solar technology. We expect that solar power will reduce the number of charging intervals and, depending on the vehicle’s usage profile, may even eliminate the need for battery charging, positioning us to benefit from a significant competitive advantage over conventional electric vehicles. The Sion’s polymer exterior significantly reduces the need for expensive metal-stamping tools and machinery costs, and the integration of solar modules into the bodywork eliminates the need for a costly paint shop, which helps us to accept reservations for the Sion locking in a comparatively low net entry price of currently €25.1 thousand. Consistent with our goal to lower CO2 emissions, each Sion will be outfitted with technology that can connect to our car- and ride-sharing networks through our proprietary hardware and software solutions. We expect that the Sion will be convenient to operate and share and comparatively affordable providing it with the potential to disrupt the market.</w:t>
      </w:r>
    </w:p>
    <w:p>
      <w:pPr>
        <w:spacing w:after="0" w:line="190"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7"/>
          <w:szCs w:val="17"/>
          <w:color w:val="auto"/>
        </w:rPr>
        <w:t>To make the Sion affordable for the mass market without compromising security or quality, we do things differently and, we believe, much more efficiently and sustainably than traditional car manufacturers or other pure EV manufacturers. We believe our production and distribution strategies will enable us to reduce production complexity, maintain relatively low overhead costs and significantly reduce our capital expenditures and distribution costs, thereby positioning us to become a price-value leader compared to competitors’ offerings in the relevant car segments. We intend to produce the Sion as a one-variant-only vehicle via a third-party producer and to rely on business-to-consumer direct distribution. All Sions will have the same exterior color and vehicle features, and will rely on existing off-the-shelf component parts from established automotive suppliers, such as Vitesco Technologies Germany GmbH (a former subsidiary of Continental AG), Hella GmbH &amp; Co. KGaA and FinDreams Industry Co., Ltd., resulting in economies of scale through the partial elimination of development costs, reduced purchasing and manufacturing complexity, reduced logistical challenges and inventory costs, and lower risks associated with quality control and testing, all of which should facilitate more rapid growth of our operations. The contract manufacturer Valmet Automotive in Uusikaupunki, Finland will produce the Sion. Our goal is to offset 100% of the CO2 emissions generated by the production of the Sion and our future vehicle models, with a view to achieving full CO2 neutrality during the production cycle.</w:t>
      </w:r>
    </w:p>
    <w:p>
      <w:pPr>
        <w:spacing w:after="0" w:line="17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Rather than relying on dealerships to sell the Sion, we intend to rely on what we consider to be an innovative and effective way to sell directly to customers through our online platform. Customers can view the Sion, book a test drive and engage and place orders directly with us. As of September 1, 2022, we had more than 20,000 reservations, more than 3,500 of which were made in 2022, with advance payments resulting in total net cash inflows of approximately €43 million from our customers. These reservations correspond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to a net sales volume of approximately €435 million assuming all reservations actually result in sales. However, our customers may cancel their reservations without penalty according to our general terms and conditions, if no binding purchase agreement has been concluded by an agreed deadline, which varies. Some reservations are already cancelable as of the date of this prospectus. We intend to begin fulfilling customer reservations in the second half of 2023. See also “</w:t>
      </w:r>
      <w:r>
        <w:rPr>
          <w:rFonts w:ascii="Times New Roman" w:cs="Times New Roman" w:eastAsia="Times New Roman" w:hAnsi="Times New Roman"/>
          <w:sz w:val="18"/>
          <w:szCs w:val="18"/>
          <w:i w:val="1"/>
          <w:iCs w:val="1"/>
          <w:color w:val="auto"/>
        </w:rPr>
        <w:t>Risk Factors — Risks Related to Our Business and Operations — Any delay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production of the Sion could adversely affect us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are already generating limited revenues from our proprietary solar technology. We have shipped prototypes and solar retrofits to customers, generating revenue of €11 thousand in the fourth quarter of 2021 and €39 thousand in the first half of 2022. As of June 30, 2022, we had a total of 10 purchase orders and 12 non-binding letters of intent. With respect to the Sion, we are still in the pre-production phase and presented the first vehicles from the third prototype generation, the Sion SVVs, in July 2022. In total, we are working to assemble 37 SVVs and bodies-in-white with the support of our partners thyssenkrupp Automotive Body Solutions and Bertrandt, which are located close to Sono Motors’ headquarters in Munich. Assembly of the SVVs is currently ongoing.</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available cash and cash equivalents and the expected proceeds from this offering will not be sufficient to secure our needs through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start of production of the Sion. Assuming that we actually raise the additional funding we need, we currently plan to commence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production of the Sion in the second half of 2023. For the six months ended June 30, 2022, we had a loss for the period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€61.0 million, compared to a loss for the period for the six months ended June 30, 2021 of €24.4 million. For the year ended December 31,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we had a loss for the period of €63.9 million, compared to a loss for the period for the year ended December 31, 2020 of €56.0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We have incurred net losses since our inception in March 2016, resulting in an accumulated deficit of €208.1 million as of June 30,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compared to €147.1 million as of December 31, 2021. We believe that we will continue to incur losses and depend on external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financing for the foreseeable future at least until we commence material deliveries of the Sion and the time when we significantly scale our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including the monetization of our solar technology. We currently expect that we will need at least €242 million in external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until the start of production of the Sion. In order to meet the targeted date for the start of production, we expect that we need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raise approximately half of the required external funding in the fourth quarter of 2022 and the remainder in 2023. We have been and 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actively considering various financing options, including registered offerings of newly issued shares and other equity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more needs to be done to slow global warming and that new technologies are needed to reduce CO2 emissions.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Market Opportunity Related to Our Solar Technology</w:t>
      </w:r>
    </w:p>
    <w:p>
      <w:pPr>
        <w:spacing w:after="0" w:line="220"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For the solar application market, we believe solar integration will be the logical next step for pure electric vehicles. Solar production prices declined relatively consistently over the last ten years, with some marginal increases since the beginning of 2020 resulting partly from supply chain issues in connection with the global COVID-19 pandemic. The current solar production price as well as the increase in efficiency of solar cells enable solar integration to have a meaningful impact on ranges and autonomy of electric vehicles. Additionally, the steep increase in electric vehicle sales and the relatively slower increase in charging stations will create a bottleneck for the adoption of electric vehicles on a larger scale. We believe that even within the next few years, people living in apartments without private access to charging stations will be reluctant to buy electric vehicles due to uncertainty whether they will be able to find relevant charging options. This will put even more focus on electric vehicles with solar integration.</w:t>
      </w:r>
    </w:p>
    <w:p>
      <w:pPr>
        <w:spacing w:after="0" w:line="185"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8"/>
          <w:szCs w:val="18"/>
          <w:color w:val="auto"/>
        </w:rPr>
        <w:t>In addition to using our technology in BEVs, we also believe that our solar technology is a solution to make combustion engine vehicles more climate friendly. By integrating our solar technology, fleet operators can reduce energy consumption in a variety of vehicles including, among others, buses, trailers, trucks and vans, and thereby significantly reduce the total cost of ownership.</w:t>
      </w:r>
    </w:p>
    <w:p>
      <w:pPr>
        <w:spacing w:after="0" w:line="176"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We estimate that more than half of the vehicles expected to be sold in 2030 will be suitable for solar retrofitting, including about a third that will be suitable for solar integration. We believe that this share will rise and that more than two thirds of the vehicles expected to be sold in 2040 will be suitable for solar integration.</w:t>
      </w:r>
    </w:p>
    <w:p>
      <w:pPr>
        <w:spacing w:after="0" w:line="176" w:lineRule="exact"/>
        <w:rPr>
          <w:sz w:val="20"/>
          <w:szCs w:val="20"/>
          <w:color w:val="auto"/>
        </w:rPr>
      </w:pPr>
    </w:p>
    <w:p>
      <w:pPr>
        <w:jc w:val="both"/>
        <w:ind w:right="180" w:firstLine="318"/>
        <w:spacing w:after="0" w:line="260" w:lineRule="auto"/>
        <w:rPr>
          <w:sz w:val="20"/>
          <w:szCs w:val="20"/>
          <w:color w:val="auto"/>
        </w:rPr>
      </w:pPr>
      <w:r>
        <w:rPr>
          <w:rFonts w:ascii="Times New Roman" w:cs="Times New Roman" w:eastAsia="Times New Roman" w:hAnsi="Times New Roman"/>
          <w:sz w:val="18"/>
          <w:szCs w:val="18"/>
          <w:color w:val="auto"/>
        </w:rPr>
        <w:t>Other users, such as building owners, already see the power of solar integration to reduce energy consumption and, accordingly, total cost of ownership. As more means of transport, including ships, trucks, vans and buses, switch over the coming years to electric engines, the benefit of solar integration will, we believe, become increasingly clear and important to market participants.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Market Opportunity Related to the Sion</w:t>
      </w:r>
    </w:p>
    <w:p>
      <w:pPr>
        <w:spacing w:after="0" w:line="22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believe that political and regulatory pressure to reduce CO2 emissions will lead to lower demand for combustion engines and will increase demand for new technologies, such as BEVs. According to BloombergNEF, by 2025, plug-in vehicles, which includes hybrid vehicles and fully electric vehicles, are expected to represent 23% of new passenger vehicle sales globally, up from just under 10% in 2021. The share of sales of electric vehicles in some markets is expected to be much higher, with electric vehicles expected to reach 39% of sales in 2025 in China and in Europe. Some of the major European car markets may even adopt electric vehicles faster, with electric vehicles expected to account for 40% to 50% of new passenger vehicle sales in Germany, the UK and France. The forecast acceleration in electric vehicle adoption means that combustion vehicle sales are expected to have peaked globally in 2017 and will show a declining trend. By 2025, sales of passenger vehicles with internal combustion engines are expected to be 19% below the sales in 2017. Furthermore, global sales of commercial electric vans and trucks more than doubled in 2021. Most of these are lighter vehicles, where the market is forecast to turn electric quickly in the 2020s. Electric commercial vehicles are expected to reach cost parity with diesel commercial vehicles within the 2020s in most market segments. Battery vans and lighter trucks are already gaining market share and by 2030 are expected to account for just under a third of the market. Global electric vehicle sales shares in these segments are expected to reach 60% by 2040, while exceeding 75% in several countries.</w:t>
      </w:r>
    </w:p>
    <w:p>
      <w:pPr>
        <w:spacing w:after="0" w:line="191"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8"/>
          <w:szCs w:val="18"/>
          <w:color w:val="auto"/>
        </w:rPr>
        <w:t>Several fundamental trends are expected to drive this increase, including increasing awareness concerning environmental matters and sustainable energy, urbanization and more stringent emissions regulations. Technological innovation, such as more efficient ways to produce batteries, longer battery lifetime and breakthroughs in solar technology are expected to enable mass market adoption.</w:t>
      </w:r>
    </w:p>
    <w:p>
      <w:pPr>
        <w:spacing w:after="0" w:line="17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Many governments provide consumer incentives for electric vehicle purchases as part of economic stimulus programs. In Germany, for example, purchase-price subsidies for new electric vehicles priced below €40,000 from the German state currently amount to €6,000 per vehicle. A recent proposal envisaged to reduce these purchase-price subsidies to €4,500 per vehicle in 2023 and to €3,000 per vehicle in 2024. Since January 1, 2021, EU regulations impose their most stringent ever CO2 emission limits on all new passenger cars registered in the EU. We believe we are well positioned with the Sion to benefit from these market opportunities as we intend to offer net-zero-emissions solar-powered electric mobility to the mass market at a comparatively affordable price. The following graphic summarizes what we believe to be growth catalysts and enablers for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6123940" cy="274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23940" cy="274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National Geographic; ICCT (International Council on Clean Transportation); Battery 2030+ Roadmap.</w:t>
      </w:r>
    </w:p>
    <w:p>
      <w:pPr>
        <w:spacing w:after="0" w:line="178" w:lineRule="exact"/>
        <w:rPr>
          <w:sz w:val="20"/>
          <w:szCs w:val="20"/>
          <w:color w:val="auto"/>
        </w:rPr>
      </w:pPr>
    </w:p>
    <w:p>
      <w:pPr>
        <w:ind w:left="320" w:hanging="313"/>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Electric-Vehicle Consumer Survey, AlixPartners (October 2019).</w:t>
      </w:r>
    </w:p>
    <w:p>
      <w:pPr>
        <w:spacing w:after="0" w:line="17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 — Department of Economic and Social Affairs (May 2018).</w:t>
      </w:r>
    </w:p>
    <w:p>
      <w:pPr>
        <w:spacing w:after="0" w:line="190"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2021.</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As of April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of Products Offered by Market Incumbents</w:t>
      </w:r>
    </w:p>
    <w:p>
      <w:pPr>
        <w:spacing w:after="0" w:line="220"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We believe that the products offered by many of the incumbent manufacturers suffer from the following limitations, do not reflect current and projected trends in consumer demand or ignore recent developments in solar technologies.</w:t>
      </w:r>
    </w:p>
    <w:p>
      <w:pPr>
        <w:spacing w:after="0" w:line="160" w:lineRule="exact"/>
        <w:rPr>
          <w:sz w:val="20"/>
          <w:szCs w:val="20"/>
          <w:color w:val="auto"/>
        </w:rPr>
      </w:pPr>
    </w:p>
    <w:p>
      <w:pPr>
        <w:ind w:right="26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Lack of innovative solutions from traditional players: </w:t>
      </w:r>
      <w:r>
        <w:rPr>
          <w:rFonts w:ascii="Times New Roman" w:cs="Times New Roman" w:eastAsia="Times New Roman" w:hAnsi="Times New Roman"/>
          <w:sz w:val="18"/>
          <w:szCs w:val="18"/>
          <w:color w:val="auto"/>
        </w:rPr>
        <w:t>Traditional car, truck or bus makers typically do not develop a new car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scratch, but rather refine and improve their existing models and technologies. We believe that this approach has hindered fundamental innovation, which can only be achieved in an efficient and sustainable manner if old structures are discarded.</w:t>
      </w:r>
    </w:p>
    <w:p>
      <w:pPr>
        <w:spacing w:after="0" w:line="171" w:lineRule="exact"/>
        <w:rPr>
          <w:sz w:val="20"/>
          <w:szCs w:val="20"/>
          <w:color w:val="auto"/>
        </w:rPr>
      </w:pPr>
    </w:p>
    <w:p>
      <w:pPr>
        <w:ind w:right="30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warming and reduction of CO2 emissions: </w:t>
      </w:r>
      <w:r>
        <w:rPr>
          <w:rFonts w:ascii="Times New Roman" w:cs="Times New Roman" w:eastAsia="Times New Roman" w:hAnsi="Times New Roman"/>
          <w:sz w:val="18"/>
          <w:szCs w:val="18"/>
          <w:color w:val="auto"/>
        </w:rPr>
        <w:t>Cars, trucks, buses and boats with internal combustion engines are a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contributor to total CO2 emissions, the main greenhouse gas that contributes to global warming. We believe that climate-friendly and affordable electric mobility is critical for achieving sustainable mobility and an attractive customer proposition.</w:t>
      </w:r>
    </w:p>
    <w:p>
      <w:pPr>
        <w:spacing w:after="0" w:line="171" w:lineRule="exact"/>
        <w:rPr>
          <w:sz w:val="20"/>
          <w:szCs w:val="20"/>
          <w:color w:val="auto"/>
        </w:rPr>
      </w:pPr>
    </w:p>
    <w:p>
      <w:pPr>
        <w:ind w:right="12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demand for mobility solutions and resource conservation: </w:t>
      </w:r>
      <w:r>
        <w:rPr>
          <w:rFonts w:ascii="Times New Roman" w:cs="Times New Roman" w:eastAsia="Times New Roman" w:hAnsi="Times New Roman"/>
          <w:sz w:val="18"/>
          <w:szCs w:val="18"/>
          <w:color w:val="auto"/>
        </w:rPr>
        <w:t>The world’s population continues to grow. Providing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to an increasing population in light of the world’s limited resources requires sustainable mobility concepts, such as easily accessible car-sharing and ride-pooling solutions.</w:t>
      </w:r>
    </w:p>
    <w:p>
      <w:pPr>
        <w:spacing w:after="0" w:line="171" w:lineRule="exact"/>
        <w:rPr>
          <w:sz w:val="20"/>
          <w:szCs w:val="20"/>
          <w:color w:val="auto"/>
        </w:rPr>
      </w:pPr>
    </w:p>
    <w:p>
      <w:pPr>
        <w:jc w:val="both"/>
        <w:ind w:right="6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energy prices: </w:t>
      </w:r>
      <w:r>
        <w:rPr>
          <w:rFonts w:ascii="Times New Roman" w:cs="Times New Roman" w:eastAsia="Times New Roman" w:hAnsi="Times New Roman"/>
          <w:sz w:val="18"/>
          <w:szCs w:val="18"/>
          <w:color w:val="auto"/>
        </w:rPr>
        <w:t>As a result of the Russo-Ukrainian war, energy prices have risen sharply. The majority of the electricity produced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Germany is based on non-renewable energy, including coal and gas. Accordingly, the price for electricity increased significantly in 2022 and there is concern about energy supply shortages.</w:t>
      </w:r>
    </w:p>
    <w:p>
      <w:pPr>
        <w:spacing w:after="0" w:line="171" w:lineRule="exact"/>
        <w:rPr>
          <w:sz w:val="20"/>
          <w:szCs w:val="20"/>
          <w:color w:val="auto"/>
        </w:rPr>
      </w:pPr>
    </w:p>
    <w:p>
      <w:pPr>
        <w:ind w:right="60" w:firstLine="3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Lack of sufficient charging infrastructure: </w:t>
      </w:r>
      <w:r>
        <w:rPr>
          <w:rFonts w:ascii="Times New Roman" w:cs="Times New Roman" w:eastAsia="Times New Roman" w:hAnsi="Times New Roman"/>
          <w:sz w:val="18"/>
          <w:szCs w:val="18"/>
          <w:color w:val="auto"/>
        </w:rPr>
        <w:t>Existing BEVs depend heavily on a limited number of charging stations. Many traditional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carmakers believe the main solution to decreasing the dependency on charging infrastructure is to increase expensive battery capacity. Bigger batteries significantly increase both the price and the weight of the respective vehicle. As a result, BEVs either do not fulfill customers desires for sufficient range or become too expensive for the mass market.</w:t>
      </w:r>
    </w:p>
    <w:p>
      <w:pPr>
        <w:spacing w:after="0" w:line="175" w:lineRule="exact"/>
        <w:rPr>
          <w:sz w:val="20"/>
          <w:szCs w:val="20"/>
          <w:color w:val="auto"/>
        </w:rPr>
      </w:pPr>
    </w:p>
    <w:p>
      <w:pPr>
        <w:ind w:right="180"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Insufficient adaptation of solar technology for mobility use cases: </w:t>
      </w:r>
      <w:r>
        <w:rPr>
          <w:rFonts w:ascii="Times New Roman" w:cs="Times New Roman" w:eastAsia="Times New Roman" w:hAnsi="Times New Roman"/>
          <w:sz w:val="18"/>
          <w:szCs w:val="18"/>
          <w:color w:val="auto"/>
        </w:rPr>
        <w:t>Generally, the available solar technology is not well-suited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mobility applications. Traditional solar technology relies on glass to cover the solar cells. Glass is, however, heavy, relatively inflexible, expensive and dangerous in crash situations. There is a lack of readily available technology that efficiently controls the interconnection between solar panels mounted on non-flat surfaces so that the impact angles of the sun’s rays differ. For commercial vehicles, no relevant solar integration solution exists that would allow vehicle operators to reduce their costs of ownership.</w:t>
      </w:r>
    </w:p>
    <w:p>
      <w:pPr>
        <w:spacing w:after="0" w:line="178"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Limited affordability of clean mobility technologies: </w:t>
      </w:r>
      <w:r>
        <w:rPr>
          <w:rFonts w:ascii="Times New Roman" w:cs="Times New Roman" w:eastAsia="Times New Roman" w:hAnsi="Times New Roman"/>
          <w:sz w:val="18"/>
          <w:szCs w:val="18"/>
          <w:color w:val="auto"/>
        </w:rPr>
        <w:t>Alternative and environmentally friendly mobility technologies have historically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expensive and are not ready for the mass market. In the case of electric vehicles, this is primarily due to high battery prices and immature charging infrastructures in many markets. We want to be the first company to offer an affordable, practical, electric family vehicle with solar-recharge capabilities for the mass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0"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We believe we are well positioned to address current market dislocations and to capture demand from consumers who desire a convenient and affordable car ownership experience and from manufacturers who seek access to disruptive solar technology for mobility applications. Our solar technology is well-suited to provide benefits to most means of powered transport, especially new electric alternatives.</w:t>
      </w:r>
    </w:p>
    <w:p>
      <w:pPr>
        <w:spacing w:after="0" w:line="178"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Innovative clean technology solutions: </w:t>
      </w:r>
      <w:r>
        <w:rPr>
          <w:rFonts w:ascii="Times New Roman" w:cs="Times New Roman" w:eastAsia="Times New Roman" w:hAnsi="Times New Roman"/>
          <w:sz w:val="18"/>
          <w:szCs w:val="18"/>
          <w:color w:val="auto"/>
        </w:rPr>
        <w:t>We believe we are a technological leader in solar-powered electric mobility. We consider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ourselves to be the first company to develop a sophisticated concept for the full integration of polymer solar modules in a vehicle’s exterior. These polymer solar modules eliminate the need for heavy glass in a solar panel and allow for more flexibility. In addition, we have developed various other innovative technological solutions, including solutions for bidirectional charging, car-sharing and ride-pooling. We intend to include these technologies in the Sion, but will also monetize them separately.</w:t>
      </w:r>
    </w:p>
    <w:p>
      <w:pPr>
        <w:spacing w:after="0" w:line="178" w:lineRule="exact"/>
        <w:rPr>
          <w:sz w:val="20"/>
          <w:szCs w:val="20"/>
          <w:color w:val="auto"/>
        </w:rPr>
      </w:pPr>
    </w:p>
    <w:p>
      <w:pPr>
        <w:ind w:right="120" w:firstLine="3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Suitable for everyday use: </w:t>
      </w:r>
      <w:r>
        <w:rPr>
          <w:rFonts w:ascii="Times New Roman" w:cs="Times New Roman" w:eastAsia="Times New Roman" w:hAnsi="Times New Roman"/>
          <w:sz w:val="18"/>
          <w:szCs w:val="18"/>
          <w:color w:val="auto"/>
        </w:rPr>
        <w:t>We have designed the Sion as a family vehicle based on an intelligent use-of-space concept. In developing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Sion, we have centered the design around our polymer-based solar technology. Based on our current development targets, the Sion is expected to have an electric battery range based on the WLTP standard of up to 305 kilometers, or 190 miles. The seamlessly integrated solar modules are expected to provide additional range at no cost from sunlight and significantly reduce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dependency on charging infrastructures, potentially allowing customers to save money on private charging stations or reduce their dependence on public charging infrastructure. We believe the reduction of external charging cycles compared to ordinary BEVs, together with the Sion’s comparatively low entry price, will make the Sion suitable for the mass market and everyday use and an especially attractive option for urban commuters and mid-low income families. All expected battery ranges for the Sion included in this prospectus are based on the WLTP. The WLTP methodology differs from the US EPA’s testing methodology, which typically has lower ranges than those determined using the WLTP standard.</w:t>
      </w:r>
    </w:p>
    <w:p>
      <w:pPr>
        <w:spacing w:after="0" w:line="183"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Affordable for average consumers: </w:t>
      </w:r>
      <w:r>
        <w:rPr>
          <w:rFonts w:ascii="Times New Roman" w:cs="Times New Roman" w:eastAsia="Times New Roman" w:hAnsi="Times New Roman"/>
          <w:sz w:val="18"/>
          <w:szCs w:val="18"/>
          <w:color w:val="auto"/>
        </w:rPr>
        <w:t>We are currently accepting reservations for the Sion locking in a comparatively low net entry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€25.1 thousand. We expect that this price positions us to become the price-value leader in the relevant car segment based on total costs of ownership calculations performed by the German automobile club and by us. We believe that the ownership cost advantage, together with the Sion’s lower dependency on public or private charging infrastructures compared to normal BEVs, will provide the Sion with a competitive edge. Our competitors’ electric vehicles that are currently available, and that are expected to be launched in the relevant car segments in the near future, are expected to be significantly more expensive to purchase and operate than the Sion.</w:t>
      </w:r>
    </w:p>
    <w:p>
      <w:pPr>
        <w:spacing w:after="0" w:line="182" w:lineRule="exact"/>
        <w:rPr>
          <w:sz w:val="20"/>
          <w:szCs w:val="20"/>
          <w:color w:val="auto"/>
        </w:rPr>
      </w:pPr>
    </w:p>
    <w:p>
      <w:pPr>
        <w:ind w:right="100" w:firstLine="3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Powered by the sun: </w:t>
      </w:r>
      <w:r>
        <w:rPr>
          <w:rFonts w:ascii="Times New Roman" w:cs="Times New Roman" w:eastAsia="Times New Roman" w:hAnsi="Times New Roman"/>
          <w:sz w:val="18"/>
          <w:szCs w:val="18"/>
          <w:color w:val="auto"/>
        </w:rPr>
        <w:t>The Sion is able to charge itself using the power of the sun, which can add to the driving range of the car’s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battery, making it less dependent on the availability and price of electricity. We believe that solar power will also make the Sion a more environmentally sustainable product than pure BEVs, as the Sion is less dependent on electricity produced from the “grid,” which includes electricity from coal and gas or nuclear energy.</w:t>
      </w:r>
    </w:p>
    <w:p>
      <w:pPr>
        <w:spacing w:after="0" w:line="175" w:lineRule="exact"/>
        <w:rPr>
          <w:sz w:val="20"/>
          <w:szCs w:val="20"/>
          <w:color w:val="auto"/>
        </w:rPr>
      </w:pPr>
    </w:p>
    <w:p>
      <w:pPr>
        <w:jc w:val="both"/>
        <w:ind w:right="14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Heightened independence: </w:t>
      </w:r>
      <w:r>
        <w:rPr>
          <w:rFonts w:ascii="Times New Roman" w:cs="Times New Roman" w:eastAsia="Times New Roman" w:hAnsi="Times New Roman"/>
          <w:sz w:val="18"/>
          <w:szCs w:val="18"/>
          <w:color w:val="auto"/>
        </w:rPr>
        <w:t>Power generated from the sun will decrease the dependence on charging infrastructure and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charging intervals. Depending on the vehicle’s usage profile, solar power may even eliminate the need for grid-based battery charging and may allow for the use of batteries with less capacity than in traditional BEVs.</w:t>
      </w:r>
    </w:p>
    <w:p>
      <w:pPr>
        <w:spacing w:after="0" w:line="171" w:lineRule="exact"/>
        <w:rPr>
          <w:sz w:val="20"/>
          <w:szCs w:val="20"/>
          <w:color w:val="auto"/>
        </w:rPr>
      </w:pPr>
    </w:p>
    <w:p>
      <w:pPr>
        <w:ind w:right="120" w:firstLine="31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Disruptive solar technology: </w:t>
      </w:r>
      <w:r>
        <w:rPr>
          <w:rFonts w:ascii="Times New Roman" w:cs="Times New Roman" w:eastAsia="Times New Roman" w:hAnsi="Times New Roman"/>
          <w:sz w:val="17"/>
          <w:szCs w:val="17"/>
          <w:color w:val="auto"/>
        </w:rPr>
        <w:t>Our polymer technology has been developed for car and transport applications. It is lightweight, allows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flexible surface integration via our patented injection molding process, is affordable due to fast and lean production and avoids the risk of bodily harm caused by broken glass. We have also developed other critical components for the use of solar technology in mobility applications. We have, through our power electronics, solved the issue that solar cells will be mounted on different parts of the exterior, which will lead to inhomogeneous exposure to sunlight. Our software visualizes the solar yield of the different parts of the Sion.</w:t>
      </w:r>
    </w:p>
    <w:p>
      <w:pPr>
        <w:spacing w:after="0" w:line="166"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Sustainable and responsible mobility: </w:t>
      </w:r>
      <w:r>
        <w:rPr>
          <w:rFonts w:ascii="Times New Roman" w:cs="Times New Roman" w:eastAsia="Times New Roman" w:hAnsi="Times New Roman"/>
          <w:sz w:val="18"/>
          <w:szCs w:val="18"/>
          <w:color w:val="auto"/>
        </w:rPr>
        <w:t>The operation of the Sion itself will not emit any CO2 or other greenhouse gases and will align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vision of sustainable and responsible electric mobility. We expect that operation of the first generation of the Sion (including facelifts), which we currently estimate to be 257,000 vehicles, will save millions of tons of CO2 compared to the operation of internal combustion engine cars and taking into account expected car sharing. We currently expect that all production-related greenhouse gas emissions that cannot be avoided or reduced along our supply chain and during the production process of the Sion will be fully neutralized through relevant offsetting measures.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0"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We believe the following combination of strengths, capabilities and features of our business model will distinguish us from our competitors and position us to successfully tap into the market for sun-powered mobility solutions.</w:t>
      </w:r>
    </w:p>
    <w:p>
      <w:pPr>
        <w:spacing w:after="0" w:line="160"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Proprietary technology aimed at harnessing solar energy: </w:t>
      </w:r>
      <w:r>
        <w:rPr>
          <w:rFonts w:ascii="Times New Roman" w:cs="Times New Roman" w:eastAsia="Times New Roman" w:hAnsi="Times New Roman"/>
          <w:sz w:val="18"/>
          <w:szCs w:val="18"/>
          <w:color w:val="auto"/>
        </w:rPr>
        <w:t>Finding solutions that allow for the efficient use of solar power in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requires departing from traditional solutions and approaches. Solar cells are typically inflexible and developed for flat surfaces that have the same exposure to sunlight, such as rooftops. Through a multi-year development and testing process, our solar experts and automotive engineers developed an injection molding technology, which is, or is expected to be covered by our various patents. This technology embeds solar cells in polymer instead of glass, making the modules more flexible, lighter, less expensive, and more efficient than any other solar solution available today. As a result, our solar modules can be seamlessly integrated into all major surface areas of the Sion to optimize sunlight capture. Solar-power will allow vehicles, such as the Sion, to operate with less dependency on battery charging infrastructures and a reduced number of loading cycles compared to ordinary BEVs. Our solar modules will also allow us to replace the traditional metal sheet exterior and eliminate the need for costly paint jobs. The layer of polymer on top of our solar cells provides protection against impact and damage, such as scratches. Patents and know-how will protect our solar technology, making it difficult for potential competitors to provide similar solutions without licensing our technology.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position as a technology leader: </w:t>
      </w:r>
      <w:r>
        <w:rPr>
          <w:rFonts w:ascii="Times New Roman" w:cs="Times New Roman" w:eastAsia="Times New Roman" w:hAnsi="Times New Roman"/>
          <w:sz w:val="18"/>
          <w:szCs w:val="18"/>
          <w:color w:val="auto"/>
        </w:rPr>
        <w:t>Based on the experience we have gained from developing and testing our 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prototypes, we believe that we are well positioned to offer a one-stop-shop solution. We can take care of everything to realize solar integration in vehicles, from product development to the provision of services. We intend to deliver customized solutions, such as large body panels, solar sandwich panels, 3D shaped panels and semi-translucent solar windows, that meet the requirements and needs of potential customers in relation to different types of vehicles. Our on-board charger together with our high efficiency solar modules result in a highly efficient system, delivering outstanding power per square foot ratios.</w:t>
      </w:r>
    </w:p>
    <w:p>
      <w:pPr>
        <w:spacing w:after="0" w:line="186"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In July 2022, we unveiled our “Solar Bus Kit”, a scalable business-to-business retrofit solution that reduces fuel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Sono Motors plans to offer a complete and efficient retrofit solution for bus fleet operators who have a compelling need to reduce diesel consumption and CO2 emissions to meet their sustainability goals.</w:t>
      </w:r>
    </w:p>
    <w:p>
      <w:pPr>
        <w:spacing w:after="0" w:line="178"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Positioned to capture untapped affordable electric vehicle market poised for growth: </w:t>
      </w:r>
      <w:r>
        <w:rPr>
          <w:rFonts w:ascii="Times New Roman" w:cs="Times New Roman" w:eastAsia="Times New Roman" w:hAnsi="Times New Roman"/>
          <w:sz w:val="18"/>
          <w:szCs w:val="18"/>
          <w:color w:val="auto"/>
        </w:rPr>
        <w:t>The global automotive market is huge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with internal combustion engines account for the vast majority of sales. The market is expected to remain huge, with expected sizes of $8.9 trillion in 2030 and $9 trillion in 2040, according to data by Statista. The market for electric vehicles is expected to show strong growth over the next ten or more years. This expected growth will be driven by a number of trends, including expected increasing convergence of production costs for electric cars and cars with internal combustion engines, consumer awareness of environmental concerns and sustainable energy and regulatory incentives aimed at promoting a shift to electric mobility. Within the market for electric vehicles, we believe that solar-powered electric mobility will be the next key trend. We are a solar-based electric mobility innovator with a clear focus on advancing solar technology. We do not have a design legacy that defines our brand, giving us the freedom to design the Sion with a focus on solar cell integration. The Sion’s net entry price of currently €25.1 thousand, coupled with its expected electric battery range based on the WLTP standard of up to 305 kilometers, or up to 190 miles, and its solar-charging capability, set the Sion apart from other electric mobility options. As a result, we believe that the Sion has the potential to be the first solar electric vehicle to meet the demands of a mass market.</w:t>
      </w:r>
    </w:p>
    <w:p>
      <w:pPr>
        <w:spacing w:after="0" w:line="18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Reservations and pre-orders demonstrate consumer support: </w:t>
      </w:r>
      <w:r>
        <w:rPr>
          <w:rFonts w:ascii="Times New Roman" w:cs="Times New Roman" w:eastAsia="Times New Roman" w:hAnsi="Times New Roman"/>
          <w:sz w:val="18"/>
          <w:szCs w:val="18"/>
          <w:color w:val="auto"/>
        </w:rPr>
        <w:t>We have built what we believe is a vibrant and loyal community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customers. Potential customers can participate in online discussions with us and cast votes indicating their preference for certain features on the Sion. The traction we have gained among potential customers is evidenced by a significant number of reservations and pre-orders, which we believe provides commercial validation of our model and revenue momentum. As of September 1, 2022, we had more than 20,000 reservations, more than 3,500 of which were made in 2022, with advance payments resulting in total net cash inflows of around €43 million, or an average of approximately €2,000 per reservation, from our customers. These reservations correspond to a net sales volume of approximately €435 million, assuming that all reservations actually result in sales. However, our customers may cancel their reservations without penalty according to our general terms and conditions, if no binding purchase agreement has been concluded by an agreed deadline, which varies by customers. Some reservations are already cancelable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as of the date of this prospectus. In addition, we have recorded more than 22,500 pre-orders from business customers, for which no advance payments were made and no contractual agreements were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182995" cy="35293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82995" cy="352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right="80" w:hanging="313"/>
        <w:spacing w:after="0" w:line="255"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net price of €21.4k per vehicle underlying the first 16,000 reservations, a net price of €23.9k for all reservations up to 18,500 and a net price of €25.1k for all reservations thereafter. Assuming that all reservations result in sales. As of September 1, 2022. Reservations are or will become cancellable and there is no guarantee that all reservations will actually be converted into orders or sales or that the Company will be able to generate net revenues from all reservations.</w:t>
      </w:r>
    </w:p>
    <w:p>
      <w:pPr>
        <w:spacing w:after="0" w:line="181" w:lineRule="exact"/>
        <w:rPr>
          <w:rFonts w:ascii="Times New Roman" w:cs="Times New Roman" w:eastAsia="Times New Roman" w:hAnsi="Times New Roman"/>
          <w:sz w:val="18"/>
          <w:szCs w:val="18"/>
          <w:color w:val="auto"/>
        </w:rPr>
      </w:pPr>
    </w:p>
    <w:p>
      <w:pPr>
        <w:ind w:left="320" w:right="160" w:hanging="313"/>
        <w:spacing w:after="0" w:line="274"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or verbal confirmations for approximately 10,000 pre-orders at the current net price of €25,126 assuming all pre-orders result in sales. No down-payments were made for those pre-orders. Pre-orders are non-binding.</w:t>
      </w:r>
    </w:p>
    <w:p>
      <w:pPr>
        <w:spacing w:after="0" w:line="164" w:lineRule="exact"/>
        <w:rPr>
          <w:rFonts w:ascii="Times New Roman" w:cs="Times New Roman" w:eastAsia="Times New Roman" w:hAnsi="Times New Roman"/>
          <w:sz w:val="18"/>
          <w:szCs w:val="18"/>
          <w:color w:val="auto"/>
        </w:rPr>
      </w:pPr>
    </w:p>
    <w:p>
      <w:pPr>
        <w:ind w:left="320" w:right="20" w:hanging="313"/>
        <w:spacing w:after="0" w:line="274"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intent for 12,600 pre-orders with FINN GmbH and written or verbal confirmations for approximately 10,000 other pre-orders. Pre-orders are non-binding and reflect intention to buy over lifecycle.</w:t>
      </w:r>
    </w:p>
    <w:p>
      <w:pPr>
        <w:spacing w:after="0" w:line="16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Lean, efficient and agile production model contains costs and promotes scalability: </w:t>
      </w:r>
      <w:r>
        <w:rPr>
          <w:rFonts w:ascii="Times New Roman" w:cs="Times New Roman" w:eastAsia="Times New Roman" w:hAnsi="Times New Roman"/>
          <w:sz w:val="18"/>
          <w:szCs w:val="18"/>
          <w:color w:val="auto"/>
        </w:rPr>
        <w:t>Our production model was intentionally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structured to align with our goals. We believe in plant sharing, in utilizing off-the-shelf component parts, and in a one-variant-only approach as ways to maintain relatively low overhead costs, significantly reduce our capital expenditures, and to become the price-value leader in the Sion’s car segment. We intend to maintain an asset-light production model and produce the Sion in Uusikaupunki, Finland with the contract manufacturer Valmet Automotive, so we will not have to invest in purchasing, operating or maintaining our own manufacturing facilities. We also intend to generate cost savings by producing a single, standardized vehicle model and by sourcing off-the-shelf component parts, such as the electric motor, mirrors, tires and car seats, from established automotive suppliers rather than engineering custom parts ourselves. We believe this approach will allow us to benefit from economies of scale and comparatively low component part prices so that we can pass these savings on to our customers. We estimate that the combination of these initiatives will allow us to realize up to approximately €500 million in aggregate expected cost and capital expenditure avoidance. We believe our production model will reduce purchasing and manufacturing complexity, logistical challenges and inventory costs, and minimize risks associated with quality control and testing, all of which should facilitate rapid growth of our operations.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Founder-led management team that includes industry experts with a clear growth mission: </w:t>
      </w:r>
      <w:r>
        <w:rPr>
          <w:rFonts w:ascii="Times New Roman" w:cs="Times New Roman" w:eastAsia="Times New Roman" w:hAnsi="Times New Roman"/>
          <w:sz w:val="18"/>
          <w:szCs w:val="18"/>
          <w:color w:val="auto"/>
        </w:rPr>
        <w:t>We are led by our founders, which gives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an outstanding combination of stability and a strong entrepreneurial corporate culture that fosters our common vision of affordable and sustainable electric mobility. Our founders are our major shareholders who drive our focus on long-term success and increasing shareholder value. We have also recruited experienced engineers from internationally renowned companies who possess strong skills in electrical engineering, solar engineering, automotive engineering and software development. Our experienced Chief Operating Officer, Chief Financial Officer, Chief Technology Officer, Group Lead Solar and Group Lead Digital complement our high-impact senior team due to their significant expertise in automotive manufacturing, solar technology and high-growth industries.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Our growth strategy focuses on two clearly identified building blocks: monetization of our solar technology and production and sale of solar electric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098540" cy="3310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9854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Company information.</w:t>
      </w:r>
    </w:p>
    <w:p>
      <w:pPr>
        <w:spacing w:after="0" w:line="178" w:lineRule="exact"/>
        <w:rPr>
          <w:sz w:val="20"/>
          <w:szCs w:val="20"/>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€42,000 as of June 30, 2022.</w:t>
      </w:r>
    </w:p>
    <w:p>
      <w:pPr>
        <w:spacing w:after="0" w:line="190"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1, 2022, more than 20,000 B2C reservations with an average down payment of approximately €2,000.</w:t>
      </w:r>
    </w:p>
    <w:p>
      <w:pPr>
        <w:spacing w:after="0" w:line="177" w:lineRule="exact"/>
        <w:rPr>
          <w:rFonts w:ascii="Times New Roman" w:cs="Times New Roman" w:eastAsia="Times New Roman" w:hAnsi="Times New Roman"/>
          <w:sz w:val="18"/>
          <w:szCs w:val="18"/>
          <w:color w:val="auto"/>
        </w:rPr>
      </w:pPr>
    </w:p>
    <w:p>
      <w:pPr>
        <w:ind w:left="320" w:right="240" w:hanging="313"/>
        <w:spacing w:after="0" w:line="274" w:lineRule="auto"/>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LOl for 12,600 pre-orders with FINN and written or verbal confirmations for approximately 10,000 other pre-orders. Pre-orders are non-binding and no down payments have been made.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 Related to Our Solar Technology</w:t>
      </w:r>
    </w:p>
    <w:p>
      <w:pPr>
        <w:spacing w:after="0" w:line="218"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Monetizing our technological innovations: </w:t>
      </w:r>
      <w:r>
        <w:rPr>
          <w:rFonts w:ascii="Times New Roman" w:cs="Times New Roman" w:eastAsia="Times New Roman" w:hAnsi="Times New Roman"/>
          <w:sz w:val="18"/>
          <w:szCs w:val="18"/>
          <w:color w:val="auto"/>
        </w:rPr>
        <w:t>We see significant potential in our solar technology for a broad range of applications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its physical flexibility compared to traditional glass solar panels, which enables tailor-made solutions for our clients. We believe that our technology has the potential to disrupt existing markets. We have the knowledge and products to cover the entire value chain for solar integration. We have already received purchase orders or entered into several non-binding letters of intent for partnerships, including with manufacturers of trailers, autonomous electric shuttles, trains, trucks, buses and boats that may use our technology in their own products. We may also produce and sell certain selected solar components, such as power electronics, license our patents to third parties or seek to generate service revenue from providing engineering services to third parties. They may use our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60"/>
        <w:spacing w:after="0" w:line="274" w:lineRule="auto"/>
        <w:rPr>
          <w:sz w:val="20"/>
          <w:szCs w:val="20"/>
          <w:color w:val="auto"/>
        </w:rPr>
      </w:pPr>
      <w:r>
        <w:rPr>
          <w:rFonts w:ascii="Times New Roman" w:cs="Times New Roman" w:eastAsia="Times New Roman" w:hAnsi="Times New Roman"/>
          <w:sz w:val="18"/>
          <w:szCs w:val="18"/>
          <w:color w:val="auto"/>
        </w:rPr>
        <w:t>technology to retrofit existing vehicles, to extend the range of BEVs, to equip new production vehicles or to comply with emission regulations.</w:t>
      </w:r>
    </w:p>
    <w:p>
      <w:pPr>
        <w:spacing w:after="0" w:line="160"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invest in technological innovation and intelligent mobility: </w:t>
      </w:r>
      <w:r>
        <w:rPr>
          <w:rFonts w:ascii="Times New Roman" w:cs="Times New Roman" w:eastAsia="Times New Roman" w:hAnsi="Times New Roman"/>
          <w:sz w:val="18"/>
          <w:szCs w:val="18"/>
          <w:color w:val="auto"/>
        </w:rPr>
        <w:t>We have achieved significant technological and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around the integration of solar modules in vehicles while simultaneously reducing manufacturing costs. We intend to continue to invest in technological innovation to further advance our technologies and innovations, as well as the safety, reliability, range capabilities and functionality of our vehicles. We plan to invest in the improvement of existing, and the development of new, technologies. We intend to dedicate significant funding to the engineering, design and development, as well as the tooling, of our solar technology. We also intend to invest in the continuous development of the Sion and future vehicle models.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 Related to the Sion</w:t>
      </w:r>
    </w:p>
    <w:p>
      <w:pPr>
        <w:spacing w:after="0" w:line="218"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Advancing the development of the Sion: </w:t>
      </w:r>
      <w:r>
        <w:rPr>
          <w:rFonts w:ascii="Times New Roman" w:cs="Times New Roman" w:eastAsia="Times New Roman" w:hAnsi="Times New Roman"/>
          <w:sz w:val="18"/>
          <w:szCs w:val="18"/>
          <w:color w:val="auto"/>
        </w:rPr>
        <w:t>We are currently executing a detailed plan to finish the design and development of the 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finalizing the engineering of, and component sourcing for, the Sion. Further, we have completed the assembly of the first vehicles of our final generation of pre-series prototypes, our SVVs, and assembly of the remainder of the SVV fleet is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123190</wp:posOffset>
            </wp:positionV>
            <wp:extent cx="5837555" cy="38830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3755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firstLine="31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Expanding our product portfolio: </w:t>
      </w:r>
      <w:r>
        <w:rPr>
          <w:rFonts w:ascii="Times New Roman" w:cs="Times New Roman" w:eastAsia="Times New Roman" w:hAnsi="Times New Roman"/>
          <w:sz w:val="17"/>
          <w:szCs w:val="17"/>
          <w:color w:val="auto"/>
        </w:rPr>
        <w:t>We are developing a “one base” vehicle platform with a view to scalability and usability for future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models. We intend to use modular systems in the Sion, including the powertrain, chassis, thermal unit and certain electronics. These modular systems can also be used for other car types without any, or only minor, modification. Leveraging this platform and these systems, we intend to roll out multiple new vehicle models across various segments, including a cargo van and a crossover passenger vehicle. We intend to equip all of our new electric vehicles with our solar technology, and all are expected to continue to be carbon neutral.</w:t>
      </w:r>
    </w:p>
    <w:p>
      <w:pPr>
        <w:spacing w:after="0" w:line="166" w:lineRule="exact"/>
        <w:rPr>
          <w:sz w:val="20"/>
          <w:szCs w:val="20"/>
          <w:color w:val="auto"/>
        </w:rPr>
      </w:pPr>
    </w:p>
    <w:p>
      <w:pPr>
        <w:ind w:right="80" w:firstLine="318"/>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our geographic footprint: </w:t>
      </w:r>
      <w:r>
        <w:rPr>
          <w:rFonts w:ascii="Times New Roman" w:cs="Times New Roman" w:eastAsia="Times New Roman" w:hAnsi="Times New Roman"/>
          <w:sz w:val="18"/>
          <w:szCs w:val="18"/>
          <w:color w:val="auto"/>
        </w:rPr>
        <w:t>Our initial market is focused on Germany, other EU member states and selected other European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We plan to expand our focus to additional nearby markets. In the long term, we currently intend to expand our</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right="40"/>
        <w:spacing w:after="0" w:line="304" w:lineRule="auto"/>
        <w:rPr>
          <w:sz w:val="20"/>
          <w:szCs w:val="20"/>
          <w:color w:val="auto"/>
        </w:rPr>
      </w:pPr>
      <w:r>
        <w:rPr>
          <w:rFonts w:ascii="Times New Roman" w:cs="Times New Roman" w:eastAsia="Times New Roman" w:hAnsi="Times New Roman"/>
          <w:sz w:val="17"/>
          <w:szCs w:val="17"/>
          <w:color w:val="auto"/>
        </w:rPr>
        <w:t>operations to other, more remote markets, such as the United States and potentially even China. In order to reduce complexity, we currently plan to have at least some of the vehicles intended for a specific region manufactured by third-party manufacturers in that particular region.</w:t>
      </w:r>
    </w:p>
    <w:p>
      <w:pPr>
        <w:spacing w:after="0" w:line="138" w:lineRule="exact"/>
        <w:rPr>
          <w:sz w:val="20"/>
          <w:szCs w:val="20"/>
          <w:color w:val="auto"/>
        </w:rPr>
      </w:pPr>
    </w:p>
    <w:p>
      <w:pPr>
        <w:ind w:right="40" w:firstLine="318"/>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Capturing additional revenue from CO2 pooling: </w:t>
      </w:r>
      <w:r>
        <w:rPr>
          <w:rFonts w:ascii="Times New Roman" w:cs="Times New Roman" w:eastAsia="Times New Roman" w:hAnsi="Times New Roman"/>
          <w:sz w:val="17"/>
          <w:szCs w:val="17"/>
          <w:color w:val="auto"/>
        </w:rPr>
        <w:t>Many developed countries have environmental regulations and incentives that seek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reduce CO2 emissions, providing us with an additional potential revenue source. For example, under EU regulation, any automotive manufacturer who fails to reduce the average emissions of its fleet sold in the EU to a specific CO2 emission per kilometer is subject to penalty payments. A manufacturer can avoid, or reduce, penalty payments, if it pools its emissions with those of manufacturers that exceed emission targets, such as manufacturers of zero or low emission vehicles. The economic benefit is shared between the pooling participants, providing us with an additional source of revenue. We intend to participate in one or more of these pooling arrangements, which we believe will comprise a meaningful percentage of our future revenue and will come at virtually no extra cost to us.</w:t>
      </w:r>
    </w:p>
    <w:p>
      <w:pPr>
        <w:spacing w:after="0" w:line="17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Adapting our sales approach: </w:t>
      </w:r>
      <w:r>
        <w:rPr>
          <w:rFonts w:ascii="Times New Roman" w:cs="Times New Roman" w:eastAsia="Times New Roman" w:hAnsi="Times New Roman"/>
          <w:sz w:val="18"/>
          <w:szCs w:val="18"/>
          <w:color w:val="auto"/>
        </w:rPr>
        <w:t>While we believe that our online approach to sales has the potential to replace the traditional dealership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of the car industry, we may consider supplementing or augmenting this approach by opening pop-up concept showrooms to allow our customers to view, touch and feel, and test-drive our model vehicles on-the-spot. We believe that pop-up concept showrooms may allow us to capture new potential customers who might not otherwise engage with our products. As we expand our product portfolio, we intend to utilize marketing and sales channels that provide us with the broadest possible reach and we intend to continue to be nimble and creative in how we target our customers to achieve maximum penetration in each market that we enter, while keeping our ambition of cost leadership in mind.</w:t>
      </w:r>
    </w:p>
    <w:p>
      <w:pPr>
        <w:spacing w:after="0" w:line="183"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Continually improving our environmental performance: </w:t>
      </w:r>
      <w:r>
        <w:rPr>
          <w:rFonts w:ascii="Times New Roman" w:cs="Times New Roman" w:eastAsia="Times New Roman" w:hAnsi="Times New Roman"/>
          <w:sz w:val="18"/>
          <w:szCs w:val="18"/>
          <w:color w:val="auto"/>
        </w:rPr>
        <w:t>The core of our mission is to create sustainable products in a sustainable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 Accordingly, we plan to enhance the efficiency of the Sion’s drive train to increase the range that can be achieved with a single battery charge. In sourcing components and choosing our partners, we seek to continuously improve the CO2 footprint of the components we source and the services we receive. Our goal is to offset 100% of the CO2 emissions generated by the production of the Sion and our future vehicle models, with a view to achieving full CO2 neutrality during the production cycle.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Car</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graphic summarizes the main features of the Sion’s solar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149860</wp:posOffset>
            </wp:positionV>
            <wp:extent cx="6064885" cy="27120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64885" cy="271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right="140" w:firstLine="318"/>
        <w:spacing w:after="0" w:line="266" w:lineRule="auto"/>
        <w:rPr>
          <w:sz w:val="20"/>
          <w:szCs w:val="20"/>
          <w:color w:val="auto"/>
        </w:rPr>
      </w:pPr>
      <w:r>
        <w:rPr>
          <w:rFonts w:ascii="Times New Roman" w:cs="Times New Roman" w:eastAsia="Times New Roman" w:hAnsi="Times New Roman"/>
          <w:sz w:val="17"/>
          <w:szCs w:val="17"/>
          <w:color w:val="auto"/>
        </w:rPr>
        <w:t>We are currently in the process of finalizing the development of the Sion, our first solar electric vehicle. The following graphic shows the key steps to start of production. In July 2022, we presented the first vehicles from our third prototype generation, the SVVs, which we use to confirm our concept and to test components. In total, we are working to assemble 37 SVVs and bodies-in-white with the support of our partners thyssenkrupp Automotive Body Solutions and Bertrandt, which are located close to Sono Motors’ headquarters in Munich.</w:t>
      </w:r>
    </w:p>
    <w:p>
      <w:pPr>
        <w:spacing w:after="0" w:line="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Assembly of the SVVs is currently ongoing. The SVVs will undergo practical tests under extreme conditions in Europe and the U.S. in the upcoming testing phase. This includes series validation, homologation, crash tests, testing in different climates, optimizing solar technology and safeguarding, as well as refining driving dynamics on test tracks and on public roads.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129540</wp:posOffset>
            </wp:positionV>
            <wp:extent cx="6090285" cy="28809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90285" cy="288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SOP: Expected Start of Production.</w:t>
      </w:r>
    </w:p>
    <w:p>
      <w:pPr>
        <w:spacing w:after="0" w:line="21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Sion will be produced in Uusikaupunki, Finland by the contract manufacturer Valmet Automotive, with the aim of ultimately using 100% renewable energy. The Sion is a five-seater that offers enough space for a family. Its 650 liter, or 23 cubic foot, trunk allows for the transportation of bulky baggage. The Sion’s liquid cooled lithium-iron phosphate battery has a capacity of 54 kWh, giving the Sion an expected range based on the WLTP standard of up to 305 kilometers, or 190 miles, according to calculations based on the WLTP standard on a single charge. Its seamlessly integrated solar cells allow the Sion to charge its battery during the day through the power of the sun. The Sion’s 456 seamlessly integrated solar half-cells can add 112 km or 70 miles on average (up to 245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km or 152 miles) per week of driving range to the car’s battery, making it self-sufficient for short distances or for occasional medium-distance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082030" cy="28047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82030" cy="280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Illustrative example, using assumed battery capacity of 54kWh.</w:t>
      </w:r>
    </w:p>
    <w:p>
      <w:pPr>
        <w:spacing w:after="0" w:line="218" w:lineRule="exact"/>
        <w:rPr>
          <w:sz w:val="20"/>
          <w:szCs w:val="20"/>
          <w:color w:val="auto"/>
        </w:rPr>
      </w:pPr>
    </w:p>
    <w:p>
      <w:pPr>
        <w:ind w:left="320" w:hanging="313"/>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 Federal Ministry of Transport and Digital Infrastructure.</w:t>
      </w:r>
    </w:p>
    <w:p>
      <w:pPr>
        <w:spacing w:after="0" w:line="217" w:lineRule="exact"/>
        <w:rPr>
          <w:rFonts w:ascii="Times New Roman" w:cs="Times New Roman" w:eastAsia="Times New Roman" w:hAnsi="Times New Roman"/>
          <w:sz w:val="18"/>
          <w:szCs w:val="18"/>
          <w:color w:val="auto"/>
        </w:rPr>
      </w:pPr>
    </w:p>
    <w:p>
      <w:pPr>
        <w:ind w:left="320" w:right="260" w:hanging="313"/>
        <w:spacing w:after="0" w:line="274"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calculations and measurements in Munich and certain assumptions concerning energy efficiency of the Sion. Actual range may be different. Distance may vary based on location and weather conditions.</w:t>
      </w:r>
    </w:p>
    <w:p>
      <w:pPr>
        <w:spacing w:after="0" w:line="164"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If the solar power does not provide the energy needed, the Sion’s battery can be recharged using the power grid. It typically takes 35 minutes to charge up to 80% at a fast-charging station (up to 75 kW direct current charging). Additionally, the Sion can be charged at any public or private alternate current charging station in Europe (up to 11 kW alternate current charging) or at regular power sockets at home. Due to a bidirectional on-board charger and via an additional plug, the Sion will be able to share its power to charge Sions, other electric vehicles or other electrical devices following a software update. The battery is expected to have a useful life of at least 3,000 charging cycles.</w:t>
      </w:r>
    </w:p>
    <w:p>
      <w:pPr>
        <w:spacing w:after="0" w:line="18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exterior and interior now feature fewer lines and clearer surfaces compared to prior models. The Sion’s revamped exterior design includes new headlights and rear lights, a new bottom sideline design, new door handles, a streamlined rear with a new camera and 3D lines and a new charging lid. Inside, the Sion features a more spacious, cleaner interior with more storage, newly designed front seats and rear bench and a new steering wheel. The Sion will also offer new color and trim for interior surfaces.</w:t>
      </w:r>
    </w:p>
    <w:p>
      <w:pPr>
        <w:spacing w:after="0" w:line="18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In the interior, the infotainment system will include connectivity and mobility services and can be controlled centrally via a 10.25-inch and CID id 10.1-inch touch display. Its 120 kW motor will allow the Sion to reach a maximum speed of 140 km/h (87 mph). We offered the Sion to the first 16,000 reservation holders at a net sales price of €21.4 thousand and to reservation holders 16,001 to 18,500 at a net sales price of €23.9 thousand net. The Sion is currently priced at €25.1 thousand. We believe that the current net sales price makes the Sion accessible to the mass market. In order to support our sales activities, we currently intend to provide a warranty for the Sion that will likely cover two years or 100,000 kilometers as well as a warranty for the battery of two years, 100,000 kilometers or 2,000 charge cycles. This warranty would be in addition to any statutory warranty provisions that apply.</w:t>
      </w:r>
    </w:p>
    <w:p>
      <w:pPr>
        <w:spacing w:after="0" w:line="189"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Our latest generation of solar body panels demonstrates significant improvements. We made significant progress on surface quality and are working on solving industrialization topics. The latest generation of our solar body panels is being used for our SVVs this year and upon further improvement for our pre-series vehicles in 2023.</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While we finalize development and prepare the launch of production of the Sion, we offered consumers who made an advance payment for the Sion to convert this advance payment into a lease contract for a Renault Zoe in 2020. The lease contract was entered into directly between the relevant consumer and a leasing provider. We are not a party to the lease contract. Our involvement consists of a transfer of the down payment to the leasing provider. We renewed this offer in 2021 under slightly modified conditions and, in addition, provided reservation holders the opportunity to take a car lease at discounted conditions from a start-up car subscription company, FINN GmbH, which claims to focus on sustainability. In summer 2022, the start-up car subscription company offered our reservation holders, subject to certain conditions, a €500 discount on a car subscription. We may provide similar offers in the future to bridge the period until we make deliveries to our customers. These offers allowed consumers to already drive an electric car and positioned us to avoid cancellations and generate income from commissions.</w:t>
      </w:r>
    </w:p>
    <w:p>
      <w:pPr>
        <w:spacing w:after="0" w:line="190" w:lineRule="exact"/>
        <w:rPr>
          <w:sz w:val="20"/>
          <w:szCs w:val="20"/>
          <w:color w:val="auto"/>
        </w:rPr>
      </w:pPr>
    </w:p>
    <w:p>
      <w:pPr>
        <w:ind w:right="120" w:firstLine="318"/>
        <w:spacing w:after="0" w:line="253" w:lineRule="auto"/>
        <w:rPr>
          <w:sz w:val="20"/>
          <w:szCs w:val="20"/>
          <w:color w:val="auto"/>
        </w:rPr>
      </w:pPr>
      <w:r>
        <w:rPr>
          <w:rFonts w:ascii="Times New Roman" w:cs="Times New Roman" w:eastAsia="Times New Roman" w:hAnsi="Times New Roman"/>
          <w:sz w:val="18"/>
          <w:szCs w:val="18"/>
          <w:color w:val="auto"/>
        </w:rPr>
        <w:t>In recent months we achieved two milestones in our development when Sono Motors was certified as an OEM by the Federal Motor Transport Authority (“KBA”) in July 2022 and when we achieved official incomplete type approval for the Sion (certified by KBA in July 2022). Having the incomplete type approval certificate is a major step towards the whole vehicle type approval as it extends our deadline for fulfillment of the General Safety requirements, version no. 2, which contain enhanced standards for topics such as restraint systems, vulnerable road use protection and protection against cyber attacks, from July 2022 to July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w:t>
      </w:r>
    </w:p>
    <w:p>
      <w:pPr>
        <w:spacing w:after="0" w:line="222" w:lineRule="exact"/>
        <w:rPr>
          <w:sz w:val="20"/>
          <w:szCs w:val="20"/>
          <w:color w:val="auto"/>
        </w:rPr>
      </w:pPr>
    </w:p>
    <w:p>
      <w:pPr>
        <w:ind w:right="180" w:firstLine="318"/>
        <w:spacing w:after="0" w:line="253" w:lineRule="auto"/>
        <w:rPr>
          <w:sz w:val="20"/>
          <w:szCs w:val="20"/>
          <w:color w:val="auto"/>
        </w:rPr>
      </w:pPr>
      <w:r>
        <w:rPr>
          <w:rFonts w:ascii="Times New Roman" w:cs="Times New Roman" w:eastAsia="Times New Roman" w:hAnsi="Times New Roman"/>
          <w:sz w:val="18"/>
          <w:szCs w:val="18"/>
          <w:color w:val="auto"/>
        </w:rPr>
        <w:t>We consider our technological achievements to be at the core of our business activities and key to our future success. We have developed several innovative technologies for use in the mobility area. We intend to integrate our technologies in the Sion and future car models and have been approached by a number of companies, such as manufacturers of trucks, commercial vehicle equipment and public transport operators to provide them with access to our technology. We believe these technologies will offer our customers a unique experience and increased practicability of our vehicles far beyond the mere driving experience.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Polymer Solar Modules — Vehicle Integrated Solutions</w:t>
      </w:r>
    </w:p>
    <w:p>
      <w:pPr>
        <w:spacing w:after="0" w:line="22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solar technology is polymer based. It allows for flexible surface integration. Our modules, which will be produced by contract manufacturers in Europe based on our intellectual property rights, are lighter than regular glass solar panels. We use monocrystalline silicon cells for the solar modules that allow for seamless integration into the entire body of vehicles. Our polymer solar modules can be used to replace the traditional metal sheet exterior and need for costly paint jobs, as the exterior of a car, such as the Sion, will be covered with polymer solar body modules. Our solar modules make complex geometries and forms feasible, significantly broadening the scope of the technology’s possible applications compared to traditional glass solar panels. Our solar modules will be manufactured based on our patented injection molding processes. This approach makes our solar elements more robust than traditional solar cells, which are laminated into glass. We believe that our approach also allows for time-efficient production cycles, increasing the manufacturing speed of our vehicles. In addition, the layer of polymer provides the solar cells underneath with protection against impact and damage such as scratches. Our solar technology also includes a maximum power tracker, a control unit that seeks to predict the energy yield from solar cells mounted in different angles to the sunlight. We have also developed proprietary hardware for critical components, such as an on-board charger that feeds the energy created by the solar cells into the on-board batteries of the relevant vehicle. Our proprietary software provides for live energy data and optimization of energy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8"/>
          <w:szCs w:val="18"/>
          <w:color w:val="auto"/>
        </w:rPr>
        <w:t>yields and provides the backbone for seamless system integration of our solar technology. The following graphic visualizes potential current or future applications of our patented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116205</wp:posOffset>
            </wp:positionV>
            <wp:extent cx="5989320" cy="2425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893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Solar technology offers a broad variety of use cases and we have already received purchase orders or entered into several letters of intent for partnerships, including with manufacturers of trailers, autonomous electric shuttles, trains, trucks, buses and boats, all of whom may enter into agreements with us to use solar technology in their own products. We believe that there are many relevant use cases for solar technology. For example, solar energy can be used to provide a large share of the energy needed by a semi-truck trailer with a cooling unit, positioning the fleet operator to increase operating hours and to reduce energy cost and CO2 emissions.</w:t>
      </w:r>
    </w:p>
    <w:p>
      <w:pPr>
        <w:spacing w:after="0" w:line="182" w:lineRule="exact"/>
        <w:rPr>
          <w:sz w:val="20"/>
          <w:szCs w:val="20"/>
          <w:color w:val="auto"/>
        </w:rPr>
      </w:pPr>
    </w:p>
    <w:p>
      <w:pPr>
        <w:jc w:val="both"/>
        <w:ind w:right="400" w:firstLine="318"/>
        <w:spacing w:after="0" w:line="260" w:lineRule="auto"/>
        <w:rPr>
          <w:sz w:val="20"/>
          <w:szCs w:val="20"/>
          <w:color w:val="auto"/>
        </w:rPr>
      </w:pPr>
      <w:r>
        <w:rPr>
          <w:rFonts w:ascii="Times New Roman" w:cs="Times New Roman" w:eastAsia="Times New Roman" w:hAnsi="Times New Roman"/>
          <w:sz w:val="18"/>
          <w:szCs w:val="18"/>
          <w:color w:val="auto"/>
        </w:rPr>
        <w:t>We believe our solar technology is among the lightest, most efficient and most affordable solar technology currently available for consumer usage. According to our own data, it is the lightest in terms of kilograms per square meter; it is the most efficient in terms of watts generated per square meter; and it is the most affordable in terms of production cost in euro per watt.</w:t>
      </w:r>
    </w:p>
    <w:p>
      <w:pPr>
        <w:spacing w:after="0" w:line="176" w:lineRule="exact"/>
        <w:rPr>
          <w:sz w:val="20"/>
          <w:szCs w:val="20"/>
          <w:color w:val="auto"/>
        </w:rPr>
      </w:pPr>
    </w:p>
    <w:p>
      <w:pPr>
        <w:ind w:right="140" w:firstLine="318"/>
        <w:spacing w:after="0" w:line="269" w:lineRule="auto"/>
        <w:rPr>
          <w:sz w:val="20"/>
          <w:szCs w:val="20"/>
          <w:color w:val="auto"/>
        </w:rPr>
      </w:pPr>
      <w:r>
        <w:rPr>
          <w:rFonts w:ascii="Times New Roman" w:cs="Times New Roman" w:eastAsia="Times New Roman" w:hAnsi="Times New Roman"/>
          <w:sz w:val="17"/>
          <w:szCs w:val="17"/>
          <w:color w:val="auto"/>
        </w:rPr>
        <w:t>Our solar technology is the key element of our solar-first approach and the design and development of the Sion around our solar module technology. Our solar technology will significantly increase practicability. Our solar modules will charge the Sion’s battery whenever the Sion is exposed to light. In a single week, we expect the modules to generate up to 112 km or 70 miles (up to 245 km or 152 miles), on average purely via the energy of the sun. These figures are based on average sunlight exposure in Munich, Germany and therefore will vary depending on geographic location, regional season and weather conditions. The power generated while the Sion is parked and exposed to light will reduce the number of charging intervals or may even eliminate the need for external charging completely.</w:t>
      </w:r>
    </w:p>
    <w:p>
      <w:pPr>
        <w:spacing w:after="0" w:line="171"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Following the start of production of the Sion, we believe that we will be positioned to enter into co-development projects with established car manufacturers, with a view to having our solar technology used in series production cars of established car manufacturers by 2024 or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Solar Modules — Vehicle Added Modules</w:t>
      </w:r>
    </w:p>
    <w:p>
      <w:pPr>
        <w:spacing w:after="0" w:line="220" w:lineRule="exact"/>
        <w:rPr>
          <w:sz w:val="20"/>
          <w:szCs w:val="20"/>
          <w:color w:val="auto"/>
        </w:rPr>
      </w:pPr>
    </w:p>
    <w:p>
      <w:pPr>
        <w:ind w:right="200" w:firstLine="318"/>
        <w:spacing w:after="0" w:line="260" w:lineRule="auto"/>
        <w:rPr>
          <w:sz w:val="20"/>
          <w:szCs w:val="20"/>
          <w:color w:val="auto"/>
        </w:rPr>
      </w:pPr>
      <w:r>
        <w:rPr>
          <w:rFonts w:ascii="Times New Roman" w:cs="Times New Roman" w:eastAsia="Times New Roman" w:hAnsi="Times New Roman"/>
          <w:sz w:val="18"/>
          <w:szCs w:val="18"/>
          <w:color w:val="auto"/>
        </w:rPr>
        <w:t>In addition to our vehicle integrated modules, we also offer vehicle added modules. This approach aims at using solar technology for vehicles after they have been fully built. These solutions are relevant for customers which want existing vehicles equipped either in a prototype solar module or low to medium volume production.</w:t>
      </w:r>
    </w:p>
    <w:p>
      <w:pPr>
        <w:spacing w:after="0" w:line="176" w:lineRule="exact"/>
        <w:rPr>
          <w:sz w:val="20"/>
          <w:szCs w:val="20"/>
          <w:color w:val="auto"/>
        </w:rPr>
      </w:pPr>
    </w:p>
    <w:p>
      <w:pPr>
        <w:ind w:right="300" w:firstLine="318"/>
        <w:spacing w:after="0" w:line="269" w:lineRule="auto"/>
        <w:rPr>
          <w:sz w:val="20"/>
          <w:szCs w:val="20"/>
          <w:color w:val="auto"/>
        </w:rPr>
      </w:pPr>
      <w:r>
        <w:rPr>
          <w:rFonts w:ascii="Times New Roman" w:cs="Times New Roman" w:eastAsia="Times New Roman" w:hAnsi="Times New Roman"/>
          <w:sz w:val="17"/>
          <w:szCs w:val="17"/>
          <w:color w:val="auto"/>
        </w:rPr>
        <w:t>This approach uses different types of semi-flexible solar modules, which are either glued or clamped onto the vehicle. The relevant solution is developed based on the needs of the specific customer, taking into account the expected lifetime of the vehicle, weights and costs specifications, installation times and synergies between solutions for different vehicle types. Currently we aim to be able to equip single prototypes. During 2022, we plan to improve the solutions to equip first small pilot fleets. For diesel buses, last-mile delivery vehicles, boats as well as for motorhomes and caravans a prototype solution is available and in most cases applied to customer vehicles, however we currently seek to have an optimized solution ready for implementation and street approval later this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year. Continuous technical and cost improvements are planned for the remainder of 2022. For reefers and non-reefer cargo box vehicles, we plan to have a first concept developed and ready to be applied in a customer prototype by summer 2022. Solutions for more curved surfaces, such as vans, would need to be developed upon customer request. We also aim to be able to equip large vehicles with semi-translucent solar windows to make efficient use of their large window areas.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Maximum Power Point Tracker</w:t>
      </w:r>
    </w:p>
    <w:p>
      <w:pPr>
        <w:spacing w:after="0" w:line="220"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The integration of solar modules into energy systems for transport-related use cases requires power electronics that fit the vehicle powertrain or auxiliary systems. Our MCU is the central piece of our power electronics. Our MCU is a multichannel, dynamic system that is both conversion and tracking efficient. Our power electronics optimize the power output by intelligent algorithms and the energy earnings for solar modules mounted on, or integrated into, moving objects by a multichannel approach that considers quickly changing sun radiation conditions and differently oriented solar modules. We aim to optimize our power electronics to provide for a power range of above 1 kilowatts peak (“kWp”), with a target up to 2.5 kWp, whereas other power electronics typically provide for a power range of less than 1 kWp. Our MCU contains a controller area network that enables the battery systems to perform complex tasks efficiently and allows active communication between the battery systems and other devices throughout the vehicle.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currently developing three systems that are in different stages of maturity:</w:t>
      </w:r>
    </w:p>
    <w:p>
      <w:pPr>
        <w:spacing w:after="0" w:line="216" w:lineRule="exact"/>
        <w:rPr>
          <w:sz w:val="20"/>
          <w:szCs w:val="20"/>
          <w:color w:val="auto"/>
        </w:rPr>
      </w:pPr>
    </w:p>
    <w:p>
      <w:pPr>
        <w:ind w:left="680" w:right="200" w:hanging="328"/>
        <w:spacing w:after="0" w:line="283" w:lineRule="auto"/>
        <w:tabs>
          <w:tab w:leader="none" w:pos="68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 xml:space="preserve">High Voltage System: </w:t>
      </w:r>
      <w:r>
        <w:rPr>
          <w:rFonts w:ascii="Times New Roman" w:cs="Times New Roman" w:eastAsia="Times New Roman" w:hAnsi="Times New Roman"/>
          <w:sz w:val="17"/>
          <w:szCs w:val="17"/>
          <w:color w:val="231F20"/>
        </w:rPr>
        <w:t>The high voltage system is used in our Sion prototypes. While the Sion uses about 400V, the high voltage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 xml:space="preserve">system has been developed to work with voltages between 400V and 800V. The system can be used for electric vehicles other than the Sion with minor or medium changes. </w:t>
      </w:r>
      <w:r>
        <w:rPr>
          <w:rFonts w:ascii="Times New Roman" w:cs="Times New Roman" w:eastAsia="Times New Roman" w:hAnsi="Times New Roman"/>
          <w:sz w:val="17"/>
          <w:szCs w:val="17"/>
          <w:color w:val="000000"/>
        </w:rPr>
        <w:t>Use cases include buses, vans, trucks, reefer trailers as well as electric boats.</w:t>
      </w:r>
    </w:p>
    <w:p>
      <w:pPr>
        <w:spacing w:after="0" w:line="157" w:lineRule="exact"/>
        <w:rPr>
          <w:rFonts w:ascii="Times New Roman" w:cs="Times New Roman" w:eastAsia="Times New Roman" w:hAnsi="Times New Roman"/>
          <w:sz w:val="17"/>
          <w:szCs w:val="17"/>
          <w:color w:val="231F20"/>
        </w:rPr>
      </w:pPr>
    </w:p>
    <w:p>
      <w:pPr>
        <w:ind w:left="680" w:right="100" w:hanging="328"/>
        <w:spacing w:after="0" w:line="261" w:lineRule="auto"/>
        <w:tabs>
          <w:tab w:leader="none" w:pos="68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Low Voltage System: </w:t>
      </w:r>
      <w:r>
        <w:rPr>
          <w:rFonts w:ascii="Times New Roman" w:cs="Times New Roman" w:eastAsia="Times New Roman" w:hAnsi="Times New Roman"/>
          <w:sz w:val="18"/>
          <w:szCs w:val="18"/>
          <w:color w:val="231F20"/>
        </w:rPr>
        <w:t>Based on the Sion system, current development projects relate to adding low voltage capabilities, flexibility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on the input voltage to allow for a combination with a broader range of solar modules and higher power output. The low voltage system will be relevant for diesel buses, smaller reefer vans and the camper industry.</w:t>
      </w:r>
    </w:p>
    <w:p>
      <w:pPr>
        <w:spacing w:after="0" w:line="173" w:lineRule="exact"/>
        <w:rPr>
          <w:rFonts w:ascii="Times New Roman" w:cs="Times New Roman" w:eastAsia="Times New Roman" w:hAnsi="Times New Roman"/>
          <w:sz w:val="18"/>
          <w:szCs w:val="18"/>
          <w:color w:val="231F20"/>
        </w:rPr>
      </w:pPr>
    </w:p>
    <w:p>
      <w:pPr>
        <w:ind w:left="680" w:right="260" w:hanging="328"/>
        <w:spacing w:after="0" w:line="276" w:lineRule="auto"/>
        <w:tabs>
          <w:tab w:leader="none" w:pos="68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Reefer System: </w:t>
      </w:r>
      <w:r>
        <w:rPr>
          <w:rFonts w:ascii="Times New Roman" w:cs="Times New Roman" w:eastAsia="Times New Roman" w:hAnsi="Times New Roman"/>
          <w:sz w:val="18"/>
          <w:szCs w:val="18"/>
          <w:color w:val="231F20"/>
        </w:rPr>
        <w:t>For reefer systems, our maximum power point tracker unit need to be coupled with battery packs, inverters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charging systems.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Sharing, Car and Ride Sharing</w:t>
      </w:r>
    </w:p>
    <w:p>
      <w:pPr>
        <w:spacing w:after="0" w:line="220"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We are planning to equip the Sion with a bidirectional power sharing solution. On the one hand, our vehicles can be externally charged with electricity based on plug-in technology; on the other hand, each Sion will have the ability to share its stored electricity, based on a bidirectional charging plug. The app-controlled solution should enable vehicle-to-vehicle via an additional plug, vehicle-to-home and vehicle-to-grid power sharing. Some aspects of bidirectional charging are expected to become available at some point after start of production and will need to be activated, once available, via an online software update. We have also developed a proprietary software and mobile application serving as a tool to access or provide the community with access to car and ride sharing. Our software is working as a marketplace-like communication platform bringing together “supply” and “demand.” As of August 31, 2022, we already have 447 non-Sion cars live on our sharing platform.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After-sales Service</w:t>
      </w:r>
    </w:p>
    <w:p>
      <w:pPr>
        <w:spacing w:after="0" w:line="220"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Our innovative after-sales service system will be available once the serial production of the Sion has been started. For repairs and maintenance of our vehicles, the system will center around an online database where spare parts can be ordered and manuals as well as video tutorials for “do-it-yourself” fixes of our vehicles can be sourced. We intend that spare parts will also be available for direct 3D print or at a computer numerical control milling service. We will also make available on our online database workshop handbooks that allow customers to involve workshops in the service or repair of their vehicles. We also plan to cooperate with an established European service provider for repairs involving high-voltage or body parts.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Sono Solar</w:t>
      </w:r>
    </w:p>
    <w:p>
      <w:pPr>
        <w:spacing w:after="0" w:line="220" w:lineRule="exact"/>
        <w:rPr>
          <w:sz w:val="20"/>
          <w:szCs w:val="20"/>
          <w:color w:val="auto"/>
        </w:rPr>
      </w:pPr>
    </w:p>
    <w:p>
      <w:pPr>
        <w:ind w:right="700" w:firstLine="318"/>
        <w:spacing w:after="0" w:line="274" w:lineRule="auto"/>
        <w:rPr>
          <w:sz w:val="20"/>
          <w:szCs w:val="20"/>
          <w:color w:val="auto"/>
        </w:rPr>
      </w:pPr>
      <w:r>
        <w:rPr>
          <w:rFonts w:ascii="Times New Roman" w:cs="Times New Roman" w:eastAsia="Times New Roman" w:hAnsi="Times New Roman"/>
          <w:sz w:val="18"/>
          <w:szCs w:val="18"/>
          <w:color w:val="auto"/>
        </w:rPr>
        <w:t>As of June 30, 2022, we had 12 non-binding letters of interest and 10 purchase orders for our innovative solar solution. As of September 15, 2022, we had 13 non-binding letters of intent and 14 purchase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090285" cy="2906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9028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Company Information.</w:t>
      </w:r>
    </w:p>
    <w:p>
      <w:pPr>
        <w:spacing w:after="0" w:line="218" w:lineRule="exact"/>
        <w:rPr>
          <w:sz w:val="20"/>
          <w:szCs w:val="20"/>
          <w:color w:val="auto"/>
        </w:rPr>
      </w:pPr>
    </w:p>
    <w:p>
      <w:pPr>
        <w:ind w:left="380" w:hanging="373"/>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non-binding LOIs and 3 purchase orders.</w:t>
      </w:r>
    </w:p>
    <w:p>
      <w:pPr>
        <w:spacing w:after="0" w:line="217"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non-binding LOIs and 10 purchase orders from customers.</w:t>
      </w:r>
    </w:p>
    <w:p>
      <w:pPr>
        <w:spacing w:after="0" w:line="217"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non-binding LOIs and 14 purchase orders.</w:t>
      </w:r>
    </w:p>
    <w:p>
      <w:pPr>
        <w:spacing w:after="0" w:line="217"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15, 2022.</w:t>
      </w:r>
    </w:p>
    <w:p>
      <w:pPr>
        <w:spacing w:after="0" w:line="218"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In 2022, we signed purchase orders or contracts with Rhenus Group, The Reefer Group, Koegel Trailer GmbH, VBR Verkehrsbetriebe und Servicegesellschaft mbH and Wingliner GmbH.</w:t>
      </w:r>
    </w:p>
    <w:p>
      <w:pPr>
        <w:spacing w:after="0" w:line="164" w:lineRule="exact"/>
        <w:rPr>
          <w:sz w:val="20"/>
          <w:szCs w:val="20"/>
          <w:color w:val="auto"/>
        </w:rPr>
      </w:pPr>
    </w:p>
    <w:p>
      <w:pPr>
        <w:ind w:left="680" w:right="100" w:hanging="328"/>
        <w:spacing w:after="0" w:line="260"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Rhenus Group, one of the world’s leading logistics service providers, we are exploring the use of our smart solar technology in last-mile logistics. The aim of this collaboration is to collect extensive solar data in real-life operations on the road in order to further optimize the potential of our patented solar technology for use on vans.</w:t>
      </w:r>
    </w:p>
    <w:p>
      <w:pPr>
        <w:spacing w:after="0" w:line="176" w:lineRule="exact"/>
        <w:rPr>
          <w:rFonts w:ascii="Times New Roman" w:cs="Times New Roman" w:eastAsia="Times New Roman" w:hAnsi="Times New Roman"/>
          <w:sz w:val="18"/>
          <w:szCs w:val="18"/>
          <w:color w:val="auto"/>
        </w:rPr>
      </w:pPr>
    </w:p>
    <w:p>
      <w:pPr>
        <w:jc w:val="both"/>
        <w:ind w:left="680" w:hanging="328"/>
        <w:spacing w:after="0" w:line="260"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Reefer Group is a global leader in refrigerated bodies. As part of our collaboration with The Reefer Group, we intend to build a first trailer vehicle with the Reefer Group’s French subsidiary Chereau for extensive testing to further evaluate the technical and economic feasibility of integrating a customized solar solution for a high volume series vehicle.</w:t>
      </w:r>
    </w:p>
    <w:p>
      <w:pPr>
        <w:spacing w:after="0" w:line="176" w:lineRule="exact"/>
        <w:rPr>
          <w:rFonts w:ascii="Times New Roman" w:cs="Times New Roman" w:eastAsia="Times New Roman" w:hAnsi="Times New Roman"/>
          <w:sz w:val="18"/>
          <w:szCs w:val="18"/>
          <w:color w:val="auto"/>
        </w:rPr>
      </w:pPr>
    </w:p>
    <w:p>
      <w:pPr>
        <w:ind w:left="680" w:right="180" w:hanging="328"/>
        <w:spacing w:after="0" w:line="260"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Koegel Trailer GmbH was founded in 1934 and is one of the largest European manufacturers of commercial vehicles, including trailers and semi-trailers today. We are in the final stages of delivering a retrofitted refrigerated body trailer to Koegel Trailer GmbH.</w:t>
      </w:r>
    </w:p>
    <w:p>
      <w:pPr>
        <w:spacing w:after="0" w:line="176" w:lineRule="exact"/>
        <w:rPr>
          <w:rFonts w:ascii="Times New Roman" w:cs="Times New Roman" w:eastAsia="Times New Roman" w:hAnsi="Times New Roman"/>
          <w:sz w:val="18"/>
          <w:szCs w:val="18"/>
          <w:color w:val="auto"/>
        </w:rPr>
      </w:pPr>
    </w:p>
    <w:p>
      <w:pPr>
        <w:ind w:left="680" w:right="240" w:hanging="328"/>
        <w:spacing w:after="0" w:line="274"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VBR Verkehrsbetriebe und Servicegesellschaft mbH is one of the largest fleet bus operators in Bavaria, Germany. We installed our proprietary solar technology on two prototype buses to be used for finalizing and refining our product. The</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buses are part of the Munich Transport and Tariff Association bus fleet and currently drive through Munich on their daily routes.</w:t>
      </w:r>
    </w:p>
    <w:p>
      <w:pPr>
        <w:spacing w:after="0" w:line="229" w:lineRule="exact"/>
        <w:rPr>
          <w:sz w:val="20"/>
          <w:szCs w:val="20"/>
          <w:color w:val="auto"/>
        </w:rPr>
      </w:pPr>
    </w:p>
    <w:p>
      <w:pPr>
        <w:ind w:left="680" w:right="100" w:hanging="328"/>
        <w:spacing w:after="0" w:line="255"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Wingliner GmbH offers automatic and customizable truck body kits. With Wingliner GmbH we built a prototype trailer with foldable hydraulic side walls, which was presented at a trade fair in September 2022. We intend to transform this prototype into a functioning vehicle in the future. In addition, in the summer of 2022, we delivered a customized solar solution for a reefer trailer for Mitsubishi Heavy Industries Thermal Transport Europe GmbH.</w:t>
      </w:r>
    </w:p>
    <w:p>
      <w:pPr>
        <w:spacing w:after="0" w:line="180" w:lineRule="exact"/>
        <w:rPr>
          <w:sz w:val="20"/>
          <w:szCs w:val="20"/>
          <w:color w:val="auto"/>
        </w:rPr>
      </w:pPr>
    </w:p>
    <w:p>
      <w:pPr>
        <w:ind w:right="360" w:firstLine="318"/>
        <w:spacing w:after="0" w:line="261" w:lineRule="auto"/>
        <w:rPr>
          <w:sz w:val="20"/>
          <w:szCs w:val="20"/>
          <w:color w:val="auto"/>
        </w:rPr>
      </w:pPr>
      <w:r>
        <w:rPr>
          <w:rFonts w:ascii="Times New Roman" w:cs="Times New Roman" w:eastAsia="Times New Roman" w:hAnsi="Times New Roman"/>
          <w:sz w:val="18"/>
          <w:szCs w:val="18"/>
          <w:color w:val="auto"/>
        </w:rPr>
        <w:t>In partnership with the Munich Transport Company, MVG (</w:t>
      </w:r>
      <w:r>
        <w:rPr>
          <w:rFonts w:ascii="Times New Roman" w:cs="Times New Roman" w:eastAsia="Times New Roman" w:hAnsi="Times New Roman"/>
          <w:sz w:val="18"/>
          <w:szCs w:val="18"/>
          <w:i w:val="1"/>
          <w:iCs w:val="1"/>
          <w:color w:val="auto"/>
        </w:rPr>
        <w:t>Münchner Verkehrsgesellschaft</w:t>
      </w:r>
      <w:r>
        <w:rPr>
          <w:rFonts w:ascii="Times New Roman" w:cs="Times New Roman" w:eastAsia="Times New Roman" w:hAnsi="Times New Roman"/>
          <w:sz w:val="18"/>
          <w:szCs w:val="18"/>
          <w:color w:val="auto"/>
        </w:rPr>
        <w:t>) we launched our proprietary solar technology to public transport for the first time. The novel solar bus trailer has been in operation in the Munich metropolitan area since April 2022, testing the energy yields as well as the potential of the technology in daily operation.</w:t>
      </w:r>
    </w:p>
    <w:p>
      <w:pPr>
        <w:spacing w:after="0" w:line="176"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In July 2022, we unveiled our novel “Solar Bus Kit”, a scalable business-to-business retrofit solution that reduces energy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Sono Motors plans to offer a complete and efficient retrofit solution for bus fleet operators who have a compelling need to reduce diesel consumption and CO2 emissions to meet their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127635</wp:posOffset>
            </wp:positionV>
            <wp:extent cx="5904865" cy="45402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04865" cy="454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The Solar Bus Kit allows subsystems like the heating, ventilation and air conditioning to be partially powered by renewable energy thereby saving fuel, CO2, and costs. The Solar Bus Kit can save up to 1,500 liters of diesel and up to 4 tonnes of CO2 per bus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per year from the approximately 1.4 kW peak installation with a total size of about 8 square-meters of solar panels. Bus fleet operators are expected to see a potential payback time of approximately 3 to 4 years, depending on days in operation and fuel prices. We intend to cooperate with ÖPNV-Service Hagen (“ÖPNV-Service”) with respect to installation of the kit and after-sales and logistics services.</w:t>
      </w:r>
    </w:p>
    <w:p>
      <w:pPr>
        <w:spacing w:after="0" w:line="176"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On September 7, 2022, we announced that we started a project with Scania, a subsidiary of Volkswagen, and LLT, a Swedish public transport authority, to test the Solar Bus Kit in real-life conditions in the northern hemisphere. The objective of the project is to optimize the efficiency of the solar technology for buses in northern climates.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w:t>
      </w:r>
    </w:p>
    <w:p>
      <w:pPr>
        <w:spacing w:after="0" w:line="222" w:lineRule="exact"/>
        <w:rPr>
          <w:sz w:val="20"/>
          <w:szCs w:val="20"/>
          <w:color w:val="auto"/>
        </w:rPr>
      </w:pPr>
    </w:p>
    <w:p>
      <w:pPr>
        <w:jc w:val="both"/>
        <w:ind w:right="480" w:firstLine="318"/>
        <w:spacing w:after="0" w:line="260" w:lineRule="auto"/>
        <w:rPr>
          <w:sz w:val="20"/>
          <w:szCs w:val="20"/>
          <w:color w:val="auto"/>
        </w:rPr>
      </w:pPr>
      <w:r>
        <w:rPr>
          <w:rFonts w:ascii="Times New Roman" w:cs="Times New Roman" w:eastAsia="Times New Roman" w:hAnsi="Times New Roman"/>
          <w:sz w:val="18"/>
          <w:szCs w:val="18"/>
          <w:color w:val="auto"/>
        </w:rPr>
        <w:t>We believe that it is and will be crucial for our success to keep up with advances and changes in electric vehicle technology. Our research and development activities currently focus on the finalization of the development of the Sion and will in the future include a facelift as well as a new version of the Sion and additional car models.</w:t>
      </w:r>
    </w:p>
    <w:p>
      <w:pPr>
        <w:spacing w:after="0" w:line="17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research and development (“R&amp;D”) strategy focuses on developing our key technologies and innovations in-house where we benefit from the expertise of our highly qualified R&amp;D team. This allows us to ensure that the key technologies and innovations used in our vehicles reflect our core values and vision of sustainable and affordable electric mobility. However, we also involve players in the automotive industry in our R&amp;D activities and have established, or are in the process of establishing, several partnerships with suppliers and engineering service providers that develop and will supply certain components for our vehicles. This approach allows us to leverage the expertise and know-how of established market players in our R&amp;D processes. In addition, we cooperate, or intend to cooperate, with renowned research institutions to combine our expertise in selected areas. For example, we established a joint project with the Fraunhofer Institute for Solar Energy Systems for a collaborative study that covers the testing of our patented solar technology up to its readiness for serial production and its certification.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Concept</w:t>
      </w:r>
    </w:p>
    <w:p>
      <w:pPr>
        <w:spacing w:after="0" w:line="222"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Our manufacturing concept is based on the production of a “one-variant-only” vehicle while using certain standard automotive components from third-party suppliers, which positions us to significantly benefit from economies of scale. Our manufacturing approach enables significantly lower capital expenditures as well as various cost savings along the value chain. The offer of only one variant of the Sion enables us to focus our engineering capacities and significantly reduces manufacturing complexity, logistical challenges, inventory costs and quality and testing risks. The production of the Sion will be based on low inventories and an exact synchronization of steps along our supply chain. Due to the Sion’s uniform black polymer exterior, significantly less steel stamping tools and no paint shops will be needed for production and finish.We believe that we will be able to save capital expenditures and currently expect that we will need to spend at least €439 million, of which a bit more than half of the amount for capital expenditure, between August 2022 and the second half of 2023 for additional development activities, start of serial production and overhead costs in this period. See “</w:t>
      </w:r>
      <w:r>
        <w:rPr>
          <w:rFonts w:ascii="Times New Roman" w:cs="Times New Roman" w:eastAsia="Times New Roman" w:hAnsi="Times New Roman"/>
          <w:sz w:val="18"/>
          <w:szCs w:val="18"/>
          <w:i w:val="1"/>
          <w:iCs w:val="1"/>
          <w:color w:val="auto"/>
        </w:rPr>
        <w:t>Operating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Review and Prospects.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Manufacturer Valmet Automotive</w:t>
      </w:r>
    </w:p>
    <w:p>
      <w:pPr>
        <w:spacing w:after="0" w:line="220" w:lineRule="exact"/>
        <w:rPr>
          <w:sz w:val="20"/>
          <w:szCs w:val="20"/>
          <w:color w:val="auto"/>
        </w:rPr>
      </w:pPr>
    </w:p>
    <w:p>
      <w:pPr>
        <w:ind w:right="440" w:firstLine="318"/>
        <w:spacing w:after="0" w:line="304" w:lineRule="auto"/>
        <w:rPr>
          <w:sz w:val="20"/>
          <w:szCs w:val="20"/>
          <w:color w:val="auto"/>
        </w:rPr>
      </w:pPr>
      <w:r>
        <w:rPr>
          <w:rFonts w:ascii="Times New Roman" w:cs="Times New Roman" w:eastAsia="Times New Roman" w:hAnsi="Times New Roman"/>
          <w:sz w:val="17"/>
          <w:szCs w:val="17"/>
          <w:color w:val="auto"/>
        </w:rPr>
        <w:t>On April 5, 2022, we entered into a binding term sheet with Valmet Automotive, a Finnish contract manufacturer. The term sheet specifies all substantial parameters regarding the collaboration and the production of the Sion. Valmet Automotive will produce the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Sion at its plant in Uusikaupunki, Finland, and will provide the capacity to produce up to approximately 257,000 vehicles over a seven-year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5753100" cy="3234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3100" cy="323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Pursuant to the term sheet, we are committed to make investments in the amount of approximately €28 million until June 2022 to cover costs and investments made by Valmet Automotive due to the tight schedule of the envisaged project. Between July 2022 and start of production in the second half of 2023, the term sheet provides for additional investments of €86 million. If we were to use the full capacity of 43,000 vehicles per year, which increase is subject to mutual agreement of the parties, additional investments of €100 million may be required. Under the term sheet, both parties have the option to terminate the term sheet at their discretion without liability, subject to certain material breach exceptions. Upon termination, each party’s continuing obligations under the term sheet will expire, except for any obligations which by their nature survive the term of the term sheet, e.g., confidentiality obligations. Details will be set out in a contract manufacturing agreement expected to be agreed in the coming months.</w:t>
      </w:r>
    </w:p>
    <w:p>
      <w:pPr>
        <w:spacing w:after="0" w:line="185"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8"/>
          <w:szCs w:val="18"/>
          <w:color w:val="auto"/>
        </w:rPr>
        <w:t>From the second half of 2023 onwards the Valmet Automotive will produce and assemble the Sion based on our specifications and using our internally developed key components as well as off-the-shelf-components from established suppliers. We may utilize a prototype shop floor in the plant.</w:t>
      </w:r>
    </w:p>
    <w:p>
      <w:pPr>
        <w:spacing w:after="0" w:line="17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Valmet Automotive started car manufacturing in 1968 as a joint venture with Saab. Since then the company built more than 1.7 million cars as contract manufacturer for some of the world’s leading original equipment manufacturers.</w:t>
      </w:r>
    </w:p>
    <w:p>
      <w:pPr>
        <w:spacing w:after="0" w:line="164"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The change to Valmet Automotive and the development of new production lines leads to a new date for start of production. We currently expect to produce and deliver the first Sion in the second half of 2023.</w:t>
      </w:r>
    </w:p>
    <w:p>
      <w:pPr>
        <w:spacing w:after="0" w:line="164"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auto"/>
        </w:rPr>
        <w:t>We currently expect that all production-related greenhouse gas emissions that cannot be avoided along the supply chain, or during the production process of the vehicles, will be fully offset through relevant measures. Valmet Automotive claims to be one of the world’s most sustainable contract manufacturers for cars. Valmet Automotive was certified as climate-neutral on January 1, 2022. See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Operations — We depend on Valmet Automotive for production of the Sion</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Off-the-shelf Components</w:t>
      </w:r>
    </w:p>
    <w:p>
      <w:pPr>
        <w:spacing w:after="0" w:line="220"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We intend to source certain standard automotive parts, such as the electric motor, mirrors, tires and car seats, of the Sion as off-the-shelf-components from established suppliers for the automotive and other industries. The majority of our suppliers will be European suppliers for the automotive industry. The use of off-the-shelf components will mean comparatively low development costs as development and engineering work relating to major standard car components is done at the supplier level. We have vetted our suppliers to confirm that they comply with our vision as well as our standards concerning quality and reliability.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Delivery Concept</w:t>
      </w:r>
    </w:p>
    <w:p>
      <w:pPr>
        <w:spacing w:after="0" w:line="22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logistics and delivery concept integrates various unconventional elements that deviate from industry standards. Sustainability and leaving a smallest possible CO2 footprint with our operations is important to us and will also influence our selection of relevant third parties and business partners (such as suppliers, 3PL and 4PL services providers) that we plan to involve in our logistics and delivery processes. In general, we expect our logistics and delivery processes to be comparatively lean due to our “one-variant-only” strategy regarding the Sion, allowing us to focus on only one production line. We intend to outsource the shipping and logistics management of our operations to 3PL services providers and currently do not intend to invest in our own logistics-related infrastructure, assets or equipment (such as trucks, trains, railcars, warehouses or sales offices). However, we will intensively explore investments in reusable packaging where considered beneficial. The 3PL services companies will provide comprehensive supply chain, transport, distribution management and execution services while we may also engage a 4PL services provider that will oversee the transportation and logistics operations of our 3PL services companies. We will also use and integrate digital means of communication and handover methods as well as the option of home delivery of vehicles to our customers. We believe that our intended logistics network and supplier ecosystem will be, in combination with delegated manufacturing processes, a competitive advantage.</w:t>
      </w:r>
    </w:p>
    <w:p>
      <w:pPr>
        <w:spacing w:after="0" w:line="19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With respect to deliveries, we plan to offer four delivery and handover options for our customers: factory pick-ups, handover events or, alternatively, informal “fast-lane” pick-ups at a location of our finished vehicle logistics (“FVL”) service provider as well as home deliveries. We intend to have delivery hubs in several cities across our markets and those delivery hubs are intended to be fixed locations where our customers can pick up their Sion. These locations will be provided by our FVL service partner and the pick-up process as well as the specification of such locations will be jointly determined by our FVL service partner and us. The fast-lane pick-up focuses on a time-efficient and informal option where customers have to deal only with minimal paperwork and no unnecessary documents, explanations or ceremonial proceedings. The home delivery option will be available for an extra charge. All aspects of the execution of finished vehicle logistics will be managed by our FVL services provider. Our distribution network has still to be finalized taking into account the available capacity of transport routes as well as sustainable options with a reduced CO2 footprint.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2" w:lineRule="exact"/>
        <w:rPr>
          <w:sz w:val="20"/>
          <w:szCs w:val="20"/>
          <w:color w:val="auto"/>
        </w:rPr>
      </w:pPr>
    </w:p>
    <w:p>
      <w:pPr>
        <w:jc w:val="both"/>
        <w:ind w:right="80" w:firstLine="318"/>
        <w:spacing w:after="0" w:line="260" w:lineRule="auto"/>
        <w:rPr>
          <w:sz w:val="20"/>
          <w:szCs w:val="20"/>
          <w:color w:val="auto"/>
        </w:rPr>
      </w:pPr>
      <w:r>
        <w:rPr>
          <w:rFonts w:ascii="Times New Roman" w:cs="Times New Roman" w:eastAsia="Times New Roman" w:hAnsi="Times New Roman"/>
          <w:sz w:val="18"/>
          <w:szCs w:val="18"/>
          <w:color w:val="auto"/>
        </w:rPr>
        <w:t>We focus on providing multiple online and offline touchpoints with our customers and the community in general throughout the entire sales experience and rely on various marketing channels with a special focus on social media and online marketing. Our marketing efforts are geared towards increasing brand awareness in order to increase sales of the Sion.</w:t>
      </w:r>
    </w:p>
    <w:p>
      <w:pPr>
        <w:spacing w:after="0" w:line="176"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We seek to increase brand awareness through a broad array of marketing channels such as targeted online marketing (including search engine optimization and search engine advertising), press publications, industry events, video advertising in public transportation and cinemas and guerilla marketing actions as well as physical test drives that can be easily arranged through our car-sharing offering. Our website content, blog, targeted newsletters, social media posts as well as local events are intended to spark further interest of potential customers in our offering.</w:t>
      </w:r>
    </w:p>
    <w:p>
      <w:pPr>
        <w:spacing w:after="0" w:line="182" w:lineRule="exact"/>
        <w:rPr>
          <w:sz w:val="20"/>
          <w:szCs w:val="20"/>
          <w:color w:val="auto"/>
        </w:rPr>
      </w:pPr>
    </w:p>
    <w:p>
      <w:pPr>
        <w:ind w:right="100" w:firstLine="318"/>
        <w:spacing w:after="0" w:line="260" w:lineRule="auto"/>
        <w:rPr>
          <w:sz w:val="20"/>
          <w:szCs w:val="20"/>
          <w:color w:val="auto"/>
        </w:rPr>
      </w:pPr>
      <w:r>
        <w:rPr>
          <w:rFonts w:ascii="Times New Roman" w:cs="Times New Roman" w:eastAsia="Times New Roman" w:hAnsi="Times New Roman"/>
          <w:sz w:val="18"/>
          <w:szCs w:val="18"/>
          <w:color w:val="auto"/>
        </w:rPr>
        <w:t>Customers are able to place reservations for our vehicles on our website and can participate in online discussions with our community or cast votes on certain features of the Sion. Customers can set up test-drives based on our car-sharing offering. Purchase orders for our vehicles can then also be placed on our website.</w:t>
      </w:r>
    </w:p>
    <w:p>
      <w:pPr>
        <w:spacing w:after="0" w:line="176"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Our approach to customer retention focuses on our community and feedback of satisfied customers on social media, targeted newsletters, video and other website content centered around features of the Sion, customer experiences and updates, community events or our blog. In 2020, we arranged for a special cooperation with Renault, pursuant to which we offered consumers who made an advance payment for the Sion to convert this advance payment into a lease contract for a Renault Zoe. We renewed this offer in 2021 under slightly modified conditions and, in addition, provided reservation holders the opportunity to take a car lease at discounted conditions from a start-up car subscription company, FINN GmbH, which claims to focus on sustainability. In summer 2022, the start-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up car subscription company offered our reservation holders, subject to certain conditions, a €500 discount on a car subscription. We may provide similar offers in the future to bridge the period until we make deliveries to our customers.</w:t>
      </w:r>
    </w:p>
    <w:p>
      <w:pPr>
        <w:spacing w:after="0" w:line="16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We rely on a number of key performance indicators to gauge the success of our marketing efforts and make the building and retaining of our community visible:</w:t>
      </w:r>
    </w:p>
    <w:p>
      <w:pPr>
        <w:spacing w:after="0" w:line="164" w:lineRule="exact"/>
        <w:rPr>
          <w:sz w:val="20"/>
          <w:szCs w:val="20"/>
          <w:color w:val="auto"/>
        </w:rPr>
      </w:pPr>
    </w:p>
    <w:p>
      <w:pPr>
        <w:ind w:left="680" w:right="180" w:hanging="328"/>
        <w:spacing w:after="0" w:line="274" w:lineRule="auto"/>
        <w:tabs>
          <w:tab w:leader="none" w:pos="6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reservations of Sions: We assess the number of pre-production reservations for the Sion, which gives us visibility on market demand for our vehicles and shows customer support of our offering.</w:t>
      </w:r>
    </w:p>
    <w:p>
      <w:pPr>
        <w:spacing w:after="0" w:line="164" w:lineRule="exact"/>
        <w:rPr>
          <w:rFonts w:ascii="Times New Roman" w:cs="Times New Roman" w:eastAsia="Times New Roman" w:hAnsi="Times New Roman"/>
          <w:sz w:val="18"/>
          <w:szCs w:val="18"/>
          <w:color w:val="231F20"/>
        </w:rPr>
      </w:pPr>
    </w:p>
    <w:p>
      <w:pPr>
        <w:ind w:left="680" w:right="60" w:hanging="328"/>
        <w:spacing w:after="0" w:line="260" w:lineRule="auto"/>
        <w:tabs>
          <w:tab w:leader="none" w:pos="6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Net promoter score: We use a net promoter score, which is intended to indicate customer loyalty and satisfaction measurement derived from surveys among our customers on their satisfaction and likelihood to recommend our product or services to others on a certain scale.</w:t>
      </w:r>
    </w:p>
    <w:p>
      <w:pPr>
        <w:spacing w:after="0" w:line="176" w:lineRule="exact"/>
        <w:rPr>
          <w:rFonts w:ascii="Times New Roman" w:cs="Times New Roman" w:eastAsia="Times New Roman" w:hAnsi="Times New Roman"/>
          <w:sz w:val="18"/>
          <w:szCs w:val="18"/>
          <w:color w:val="231F20"/>
        </w:rPr>
      </w:pPr>
    </w:p>
    <w:p>
      <w:pPr>
        <w:jc w:val="both"/>
        <w:ind w:left="680" w:right="460" w:hanging="328"/>
        <w:spacing w:after="0" w:line="304" w:lineRule="auto"/>
        <w:tabs>
          <w:tab w:leader="none" w:pos="680" w:val="left"/>
        </w:tabs>
        <w:numPr>
          <w:ilvl w:val="0"/>
          <w:numId w:val="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Number of social media followers: The number of people following our brand on social media is a strong indicator of brand awareness and our popularity among our community. It indicates our reach that is achieved without any major engagement.</w:t>
      </w:r>
    </w:p>
    <w:p>
      <w:pPr>
        <w:spacing w:after="0" w:line="141" w:lineRule="exact"/>
        <w:rPr>
          <w:rFonts w:ascii="Times New Roman" w:cs="Times New Roman" w:eastAsia="Times New Roman" w:hAnsi="Times New Roman"/>
          <w:sz w:val="17"/>
          <w:szCs w:val="17"/>
          <w:color w:val="231F20"/>
        </w:rPr>
      </w:pPr>
    </w:p>
    <w:p>
      <w:pPr>
        <w:ind w:left="680" w:hanging="328"/>
        <w:spacing w:after="0" w:line="255" w:lineRule="auto"/>
        <w:tabs>
          <w:tab w:leader="none" w:pos="6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Newsletter subscribers and opening rate: The number of newsletter subscribers and the opening rate, i.e., the percentage of recipients of our email advertising that open our emails, are important indicators of the success of our email advertising strategy. The opening rate indicates, among others, the punchiness of subject lines, the composition of the audience and the appropriateness of emails sent.</w:t>
      </w:r>
    </w:p>
    <w:p>
      <w:pPr>
        <w:spacing w:after="0" w:line="181" w:lineRule="exact"/>
        <w:rPr>
          <w:rFonts w:ascii="Times New Roman" w:cs="Times New Roman" w:eastAsia="Times New Roman" w:hAnsi="Times New Roman"/>
          <w:sz w:val="18"/>
          <w:szCs w:val="18"/>
          <w:color w:val="231F20"/>
        </w:rPr>
      </w:pPr>
    </w:p>
    <w:p>
      <w:pPr>
        <w:ind w:left="680" w:right="380" w:hanging="328"/>
        <w:spacing w:after="0" w:line="274" w:lineRule="auto"/>
        <w:tabs>
          <w:tab w:leader="none" w:pos="6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Website visits: We track the number of visitors to our website as this indicates interest in our brand independently of our own media activities.</w:t>
      </w:r>
    </w:p>
    <w:p>
      <w:pPr>
        <w:spacing w:after="0" w:line="164" w:lineRule="exact"/>
        <w:rPr>
          <w:rFonts w:ascii="Times New Roman" w:cs="Times New Roman" w:eastAsia="Times New Roman" w:hAnsi="Times New Roman"/>
          <w:sz w:val="18"/>
          <w:szCs w:val="18"/>
          <w:color w:val="231F20"/>
        </w:rPr>
      </w:pPr>
    </w:p>
    <w:p>
      <w:pPr>
        <w:jc w:val="both"/>
        <w:ind w:left="680" w:hanging="328"/>
        <w:spacing w:after="0" w:line="260" w:lineRule="auto"/>
        <w:tabs>
          <w:tab w:leader="none" w:pos="6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Advertising and marketing spent per reservation: This key performance indicator quantifies the benefit of a community, the role of word-of-mouth recommendations and the effectiveness of a strong brand to acquire new reservations and, in the future, purchasers for the 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2"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We primarily rely on online sales of our vehicles through our website with only a very limited number of physical locations. This approach allows us to reach many customers in a larger number of countries and eliminates potential dealer margins and distribution costs. We also intend to provide further digital channels to enable an exchange with our customers prior to the delivery of our vehicles with a view to taking the customer with us on the journey of building his or her vehicle.</w:t>
      </w:r>
    </w:p>
    <w:p>
      <w:pPr>
        <w:spacing w:after="0" w:line="182"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However, we also plan to offer conventional direct sales channels and maintain physical contact with our customers. We want to offer a variety of events for this purpose, such as test-drive tours and product presentations, as well as mobile locations in cities or at our delivery hubs, where potential customers can test our vehicles and get all relevant information about our products and the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Company. These events will also enable us to collect relevant data about customers in order to better understand their needs. The following graphic compares the conventional sales process to our customer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115570</wp:posOffset>
            </wp:positionV>
            <wp:extent cx="5820410" cy="27463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20410" cy="274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w:t>
      </w:r>
    </w:p>
    <w:p>
      <w:pPr>
        <w:spacing w:after="0" w:line="222"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8"/>
          <w:szCs w:val="18"/>
          <w:color w:val="auto"/>
        </w:rPr>
        <w:t>We intend to focus on our database, which will be available once serial production of the Sion has commenced and will enable customers to conduct certain economical repairs and “do-it-yourself” maintenance of our vehicles themselves based on digital open-source car manuals as well as video tutorials. Our customers will generally be able to choose from among three options:</w:t>
      </w:r>
    </w:p>
    <w:p>
      <w:pPr>
        <w:spacing w:after="0" w:line="176" w:lineRule="exact"/>
        <w:rPr>
          <w:sz w:val="20"/>
          <w:szCs w:val="20"/>
          <w:color w:val="auto"/>
        </w:rPr>
      </w:pPr>
    </w:p>
    <w:p>
      <w:pPr>
        <w:jc w:val="both"/>
        <w:ind w:left="680" w:right="160" w:hanging="328"/>
        <w:spacing w:after="0" w:line="260" w:lineRule="auto"/>
        <w:tabs>
          <w:tab w:leader="none" w:pos="68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Individual self-repair: Customers may conduct certain repairs and maintenance of their vehicle on their own at low cost with the assistance of our online database through open-source manuals, instructions and video tutorials while spare parts can be ordered online on our website or even simply be printed in 3D.</w:t>
      </w:r>
    </w:p>
    <w:p>
      <w:pPr>
        <w:spacing w:after="0" w:line="176" w:lineRule="exact"/>
        <w:rPr>
          <w:rFonts w:ascii="Times New Roman" w:cs="Times New Roman" w:eastAsia="Times New Roman" w:hAnsi="Times New Roman"/>
          <w:sz w:val="18"/>
          <w:szCs w:val="18"/>
          <w:color w:val="231F20"/>
        </w:rPr>
      </w:pPr>
    </w:p>
    <w:p>
      <w:pPr>
        <w:ind w:left="680" w:right="380" w:hanging="328"/>
        <w:spacing w:after="0" w:line="260" w:lineRule="auto"/>
        <w:tabs>
          <w:tab w:leader="none" w:pos="68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Non-licensed car-workshops: Depending on the skill level of the customer and the specific maintenance work to be done, our customers can also involve non-licensed car workshops who then engage in low-cost repair also based on our open-source material from our database.</w:t>
      </w:r>
    </w:p>
    <w:p>
      <w:pPr>
        <w:spacing w:after="0" w:line="176" w:lineRule="exact"/>
        <w:rPr>
          <w:rFonts w:ascii="Times New Roman" w:cs="Times New Roman" w:eastAsia="Times New Roman" w:hAnsi="Times New Roman"/>
          <w:sz w:val="18"/>
          <w:szCs w:val="18"/>
          <w:color w:val="231F20"/>
        </w:rPr>
      </w:pPr>
    </w:p>
    <w:p>
      <w:pPr>
        <w:ind w:left="680" w:right="280" w:hanging="328"/>
        <w:spacing w:after="0" w:line="274" w:lineRule="auto"/>
        <w:tabs>
          <w:tab w:leader="none" w:pos="68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Service partner network: We intend to cooperate with a renowned European service provider for an all-around carefree service offering and, in particular, repairs involving high-voltage or body parts.</w:t>
      </w:r>
    </w:p>
    <w:p>
      <w:pPr>
        <w:spacing w:after="0" w:line="16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our concept creates additional value for our customers as, contrary to the approach often taken by established vehicle brands, we currently do not intend to create incentives to have required service and maintenance work performed at typically more costly licensed car workshops. At the same time, this concept allows us to externalize the costs typically associated with the installation, operation and maintenance of a service network.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220"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We use a number of standard software programs for our business operations. In addition, we deploy our own proprietary software and applications. To help secure data that we handle and protect against outages, we have implemented a number of protective measures, including duplicate systems, firewalls, antivirus software, patches, data encryption, log monitors, routine backups, system audits, data partitioning, routine password modifications and disaster recovery procedures.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Technology</w:t>
      </w:r>
    </w:p>
    <w:p>
      <w:pPr>
        <w:spacing w:after="0" w:line="222"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While there is a large number of providers of solar technology solutions for all kinds of stationary applications, the competitive landscape for vehicle solar solutions is less competitive. Based on a survey conducted by our business intelligence team, we have identified a few competitors particularly relevant to us, including a2-solar Advanced and Automotive Solar Systems GmbH, eNow, Inc., KRSolar B.V. doing business as wattlab, Im Efficiency B.V., Green Energy Solutions and TRAILAR.</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following factors differentiate us from these competitors:</w:t>
      </w:r>
    </w:p>
    <w:p>
      <w:pPr>
        <w:spacing w:after="0" w:line="218" w:lineRule="exact"/>
        <w:rPr>
          <w:sz w:val="20"/>
          <w:szCs w:val="20"/>
          <w:color w:val="auto"/>
        </w:rPr>
      </w:pPr>
    </w:p>
    <w:p>
      <w:pPr>
        <w:ind w:left="680" w:hanging="328"/>
        <w:spacing w:after="0"/>
        <w:tabs>
          <w:tab w:leader="none" w:pos="6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team includes both solar and automotive experts;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many of these competitors rely on self-installation while we offer installation services;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cell technology that provides high energy density at a reasonable cost;</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developed maximum power point tracker solution; and</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offer both vehicle added solar modules and vehicle integrated solar modules.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Cars</w:t>
      </w:r>
    </w:p>
    <w:p>
      <w:pPr>
        <w:spacing w:after="0" w:line="22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automotive market in general, and the automotive mass market in particular, are highly competitive, and while we are arguably the only manufacturer focused exclusively on family-friendly solar powered vehicles, we are not the only company seeking to develop and offer a solar powered car. We expect competition in our industry to intensify in the future, particularly in light of increased demand for alternative fuel and a regulatory push for electric vehicles (e.g., CO2 target emission regulations and tax or other monetary incentives), as well as declining battery prices. Continuing globalization may lead to additional potential competitors in emerging economies. We believe the primary competitive factors in our markets include:</w:t>
      </w:r>
    </w:p>
    <w:p>
      <w:pPr>
        <w:spacing w:after="0" w:line="187" w:lineRule="exact"/>
        <w:rPr>
          <w:sz w:val="20"/>
          <w:szCs w:val="20"/>
          <w:color w:val="auto"/>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manufacturing efficiency,</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vehicle price,</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quality, performance and features,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 and styling,</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innovation and development time,</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reliability,</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safety,</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energy economy,</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charging options,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customer service and</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financing terms.</w:t>
      </w:r>
    </w:p>
    <w:p>
      <w:pPr>
        <w:spacing w:after="0" w:line="21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color w:val="auto"/>
        </w:rPr>
        <w:t>We have strategically positioned ourselves to fill a niche in the market for electric vehicles. However, we expect that the niche for solar electric vehicles may become more competitive in the future. Numerous competitors strive to offer e-mobility affordable to the masses and several other market players are currently experimenting with solar charging technology, including manufacturers with</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established brands and significantly greater financial resources than us such as Tesla, Toyota, and Lightyear. In order to succeed, we seek to be the price / value leader in our segment and offer customers the lowest total cost of ownership in our segment. The following graphic compares the Sion to selected offers from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6182995" cy="2931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82995" cy="293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580"/>
        <w:spacing w:after="0" w:line="274" w:lineRule="auto"/>
        <w:rPr>
          <w:sz w:val="20"/>
          <w:szCs w:val="20"/>
          <w:color w:val="auto"/>
        </w:rPr>
      </w:pPr>
      <w:r>
        <w:rPr>
          <w:rFonts w:ascii="Times New Roman" w:cs="Times New Roman" w:eastAsia="Times New Roman" w:hAnsi="Times New Roman"/>
          <w:sz w:val="18"/>
          <w:szCs w:val="18"/>
          <w:color w:val="auto"/>
        </w:rPr>
        <w:t>Source: Websites &amp; price lists of respective models. Segment source: German Federal Motor Transport Authority (</w:t>
      </w:r>
      <w:r>
        <w:rPr>
          <w:rFonts w:ascii="Times New Roman" w:cs="Times New Roman" w:eastAsia="Times New Roman" w:hAnsi="Times New Roman"/>
          <w:sz w:val="18"/>
          <w:szCs w:val="18"/>
          <w:i w:val="1"/>
          <w:iCs w:val="1"/>
          <w:color w:val="auto"/>
        </w:rPr>
        <w:t>Kraftfahrtbundesamt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320" w:right="20" w:hanging="313"/>
        <w:spacing w:after="0" w:line="254"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shown are recommended net retail prices and do not include any indirect incentives. Pricing and included options can differ by region. Sion range based on expected WLTP range with additional solar based mileage based on calculations and measurements in 18 EU cities with highest population density and certain assumptions concerning energy efficiency of the Sion. Distance may vary based on location and weather conditions. Current price of the Sion after 18,500 reservations is €25.1 thousand net.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0"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Our intellectual property, including patents, trademarks and copyright, is important to our business. We hold several patents in different jurisdictions relating to our solar module technology, ventilation system and energy management system for vehicles, have filed several patent applications, including relating to our solar technology, and expect to file several additional patent applications in 2022. We have registered trademarks in the EU or other relevant jurisdictions for “Sono Motors” and “Sion.” Our intellectual property portfolio includes domain names for websites that we use in our business.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control access to, use and distribution of our intellectual property through confidentiality procedures, non-disclosure agreements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third parties and our employment and contractor agreements. Under the German Employee Invention 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Arbeitnehmererfindungsgesetz</w:t>
      </w:r>
      <w:r>
        <w:rPr>
          <w:rFonts w:ascii="Times New Roman" w:cs="Times New Roman" w:eastAsia="Times New Roman" w:hAnsi="Times New Roman"/>
          <w:sz w:val="17"/>
          <w:szCs w:val="17"/>
          <w:color w:val="auto"/>
        </w:rPr>
        <w:t>) we generally have a claim on work-related inventions by our employees. We rely on contractual provisions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our business partners to protect our intellectual property and proprietary technology, brand and creative assets. We seek to maintain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protect our intellectual property portfolio, including by pursuing any infringements by third parties.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graphic provides an overview of our granted patents and filed patent applications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5904865" cy="31502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04865" cy="315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September 30, 2022, we are in the process of preparing 8 additional invention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Coverage</w:t>
      </w:r>
    </w:p>
    <w:p>
      <w:pPr>
        <w:spacing w:after="0" w:line="220"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We have taken out a number of group insurance policies that are customary in our industry, such as property and loss of earnings insurance, business liability insurance, including insurance for product liability, transport insurance and environmental liability insurance. We believe that our insurance policies contain market-standard exclusions and deductibles. We regularly review the adequacy of our insurance coverage and consider the scope of our insurance coverage to be customary in our industry.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0" w:lineRule="exact"/>
        <w:rPr>
          <w:sz w:val="20"/>
          <w:szCs w:val="20"/>
          <w:color w:val="auto"/>
        </w:rPr>
      </w:pPr>
    </w:p>
    <w:p>
      <w:pPr>
        <w:ind w:right="100" w:firstLine="318"/>
        <w:spacing w:after="0" w:line="304" w:lineRule="auto"/>
        <w:rPr>
          <w:sz w:val="20"/>
          <w:szCs w:val="20"/>
          <w:color w:val="auto"/>
        </w:rPr>
      </w:pPr>
      <w:r>
        <w:rPr>
          <w:rFonts w:ascii="Times New Roman" w:cs="Times New Roman" w:eastAsia="Times New Roman" w:hAnsi="Times New Roman"/>
          <w:sz w:val="17"/>
          <w:szCs w:val="17"/>
          <w:color w:val="auto"/>
        </w:rPr>
        <w:t>By year-end of 2021, a total of 231 people, with over 33 different nationalities, were employed at Sono Motors. We continued to grow our team in 2022, with 350 people employed at Sono Motors as of June 30, 2022. As of August 31, 2022, we employed 383 people.</w:t>
      </w:r>
    </w:p>
    <w:p>
      <w:pPr>
        <w:spacing w:after="0" w:line="142"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Engineering and development for the Sion and our proprietary solar technology account for over 60% of our workforce. The following table shows the number of employees, by category, as of December 31, 2019, 2020, 2021 and June 30,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Departments</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Marketing &amp;</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HR +</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102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Sion, Solar</w:t>
            </w:r>
          </w:p>
        </w:tc>
        <w:tc>
          <w:tcPr>
            <w:tcW w:w="980" w:type="dxa"/>
            <w:vAlign w:val="bottom"/>
            <w:gridSpan w:val="2"/>
            <w:vMerge w:val="continue"/>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980" w:type="dxa"/>
            <w:vAlign w:val="bottom"/>
            <w:gridSpan w:val="2"/>
            <w:vMerge w:val="continue"/>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and Digital</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740" w:type="dxa"/>
            <w:vAlign w:val="bottom"/>
            <w:gridSpan w:val="2"/>
            <w:vMerge w:val="continue"/>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7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0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December 31, 2019</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831"/>
        </w:trPr>
        <w:tc>
          <w:tcPr>
            <w:tcW w:w="4700" w:type="dxa"/>
            <w:vAlign w:val="bottom"/>
          </w:tcPr>
          <w:p>
            <w:pPr>
              <w:spacing w:after="0"/>
              <w:rPr>
                <w:sz w:val="24"/>
                <w:szCs w:val="24"/>
                <w:color w:val="auto"/>
              </w:rPr>
            </w:pPr>
          </w:p>
        </w:tc>
        <w:tc>
          <w:tcPr>
            <w:tcW w:w="1040" w:type="dxa"/>
            <w:vAlign w:val="bottom"/>
            <w:gridSpan w:val="2"/>
          </w:tcPr>
          <w:p>
            <w:pPr>
              <w:jc w:val="right"/>
              <w:ind w:right="566"/>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4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0"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Our headquarters are located at Waldmeisterstraße 76, 80935 Munich, Germany. We have leased this property for a fixed term until March 31, 2023 and have the option, after the expiration of the fixed term, to extend such lease for an additional term of one year up to five times. The lease will be consecutively and automatically extended for one more year, unless the lease is terminated by either party with six-months prior written notice.</w:t>
      </w:r>
    </w:p>
    <w:p>
      <w:pPr>
        <w:spacing w:after="0" w:line="182" w:lineRule="exact"/>
        <w:rPr>
          <w:sz w:val="20"/>
          <w:szCs w:val="20"/>
          <w:color w:val="auto"/>
        </w:rPr>
      </w:pPr>
    </w:p>
    <w:p>
      <w:pPr>
        <w:ind w:right="180" w:firstLine="318"/>
        <w:spacing w:after="0" w:line="260" w:lineRule="auto"/>
        <w:rPr>
          <w:sz w:val="20"/>
          <w:szCs w:val="20"/>
          <w:color w:val="auto"/>
        </w:rPr>
      </w:pPr>
      <w:r>
        <w:rPr>
          <w:rFonts w:ascii="Times New Roman" w:cs="Times New Roman" w:eastAsia="Times New Roman" w:hAnsi="Times New Roman"/>
          <w:sz w:val="18"/>
          <w:szCs w:val="18"/>
          <w:color w:val="auto"/>
        </w:rPr>
        <w:t>In addition, we have leased a workshop, which we also refer to as our research and development center, at Waldmeisterstraße 93, 80935 Munich, Germany. We have leased this property for a fixed term until April 30, 2026. We then have the option to extend this fixed term by five years.</w:t>
      </w:r>
    </w:p>
    <w:p>
      <w:pPr>
        <w:spacing w:after="0" w:line="176"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We have also leased another office building next to our headquarters at Tagetestraße 2, 80935 Munich. Germany. The lease started on July 1, 2022 and runs for an indefinite period. It can be terminated with a notice period of six months to the end of the month.</w:t>
      </w:r>
    </w:p>
    <w:p>
      <w:pPr>
        <w:spacing w:after="0" w:line="164"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We have also leased a storage building at Waldmeisterstraße 99, 80935 Munich, Germany. The lease started on September 1, 2022 and runs for an indefinite period.</w:t>
      </w:r>
    </w:p>
    <w:p>
      <w:pPr>
        <w:spacing w:after="0" w:line="164"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As of the date of this prospectus, we do not own any real estate property and do not lease any real estate property, except for our headquarters and our research and development center.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w:t>
      </w:r>
    </w:p>
    <w:p>
      <w:pPr>
        <w:spacing w:after="0" w:line="218" w:lineRule="exact"/>
        <w:rPr>
          <w:sz w:val="20"/>
          <w:szCs w:val="20"/>
          <w:color w:val="auto"/>
        </w:rPr>
      </w:pPr>
    </w:p>
    <w:p>
      <w:pPr>
        <w:ind w:right="400" w:firstLine="318"/>
        <w:spacing w:after="0" w:line="255" w:lineRule="auto"/>
        <w:rPr>
          <w:sz w:val="20"/>
          <w:szCs w:val="20"/>
          <w:color w:val="auto"/>
        </w:rPr>
      </w:pPr>
      <w:r>
        <w:rPr>
          <w:rFonts w:ascii="Times New Roman" w:cs="Times New Roman" w:eastAsia="Times New Roman" w:hAnsi="Times New Roman"/>
          <w:sz w:val="18"/>
          <w:szCs w:val="18"/>
          <w:color w:val="auto"/>
        </w:rPr>
        <w:t>In February 2022, a former employee filed a claim in court against us. The former employee asserts that the termination of his employment relationship by us was not justified and seeks re-employment. In May 2022, the former employee expanded the claims to recover certain benefits, which he claims to have a value of €14.2 million. We believe this claim to be without merit and will defend ourselves vigorously against these claims.</w:t>
      </w:r>
    </w:p>
    <w:p>
      <w:pPr>
        <w:spacing w:after="0" w:line="18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In the first half of 2021, we decided to change our designated battery supplier. The former supplier has indicated that it believes it is entitled to compensation under its contract with us. In initial discussions, the former supplier proposed an agreement with compensation in the amount of €2 million. In February 2022, the former supplier increased its request to €15 million. In June 2022. the former supplier filed an action for declaratory judgment (</w:t>
      </w:r>
      <w:r>
        <w:rPr>
          <w:rFonts w:ascii="Times New Roman" w:cs="Times New Roman" w:eastAsia="Times New Roman" w:hAnsi="Times New Roman"/>
          <w:sz w:val="18"/>
          <w:szCs w:val="18"/>
          <w:i w:val="1"/>
          <w:iCs w:val="1"/>
          <w:color w:val="auto"/>
        </w:rPr>
        <w:t>Feststellungsklage</w:t>
      </w:r>
      <w:r>
        <w:rPr>
          <w:rFonts w:ascii="Times New Roman" w:cs="Times New Roman" w:eastAsia="Times New Roman" w:hAnsi="Times New Roman"/>
          <w:sz w:val="18"/>
          <w:szCs w:val="18"/>
          <w:color w:val="auto"/>
        </w:rPr>
        <w:t>) with the Regional Court Stuttgart, Germany. in which the former supplier claimed that its damages were at least €23.4 million. We continue to believe this claim to be without merit and will defend ourselves vigorously against this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Our industry and business operations are subject to various laws, rules and regulations at international, national, state and municipal levels, which may affect, directly or indirectly, our operations or our industry. Such laws, rules and regulations include laws on vehicle approval and homologation, laws on vehicle road safety, environmental laws, laws on vehicle emissions and renewable energies, consumer protection laws, product warranty and product liability laws, intellectual property and copyright laws, labor and employment protection laws, export control regulations, trade and economic sanctions and embargoes on certain countries, persons, groups and/or entities, projects and/or activities, competition and antitrust laws, tax laws, and criminal laws (e.g. anti-money laundering and anti-corruption laws). Within the EU the legal environment is also characterized by a set of political initiatives and legal frameworks under the so-called European green deal, which seeks to serve the overarching goal of eliminating greenhouse gas emissions and reaching climate neutrality by 2050. These initiatives and legal frameworks have had and will continue to have a significant influence on our industry and business operations as well as the overall adoption rate of electric mobility within the EU.</w:t>
      </w:r>
    </w:p>
    <w:p>
      <w:pPr>
        <w:spacing w:after="0" w:line="18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An overview of the laws, rules and regulations that are most relevant for our business operations or industry, broken down by general category of regulation, is provided below. Any reference in this section to any legislation or regulation is deemed to refer to such legislation or regulation as amended, supplemented or otherwise modified, and all further rules and regulations promulgated thereunder, unless the context requires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Approval/Road Safety</w:t>
      </w:r>
    </w:p>
    <w:p>
      <w:pPr>
        <w:spacing w:after="0" w:line="220"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Our vehicles and related components will require compliance with product-related regulatory frameworks and approval by the relevant government authorities before we may sell our vehicles to customers or before our vehicles may be used on public roads. We will have to comply with substantial licensing, certification, approval, permit and other homologation requirements in all relevant markets in which we may operate, as well as numerous and continually increasing technical product requirements, particularly with regard to the safety of vehicle occupants and other road users.</w:t>
      </w:r>
    </w:p>
    <w:p>
      <w:pPr>
        <w:spacing w:after="0" w:line="182"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The EU has passed extensive legislation and regulations on vehicle approval and safety, including a regulation governing the testing necessary for a vehicle to be placed on the market. EU regulation also sets out EU-wide rules on technical requirements and procedures to ensure that new types of motor vehicles and their trailers conform to EU-approved requirements on safety and environmental protection. It also provides for market surveillance to ensure the conformity of vehicles already available on the market, and allows EU member states and the European Commission to carry out random tests on vehicles to detect failures. EU regulation passed in 2019, which will take effect from July 6, 2022, introduces requirements for the implementation of state-of-art safety technologies (such as intelligent speed assistance, advanced driver distraction warning systems and other safety systems, including with respect to pedestrians and cyclists) as standard vehicle equipment and seeks to enhance the competitiveness of EU car manufacturers on the global market by providing the first EU legal framework for automated and fully automated vehicles.</w:t>
      </w:r>
    </w:p>
    <w:p>
      <w:pPr>
        <w:spacing w:after="0" w:line="188" w:lineRule="exact"/>
        <w:rPr>
          <w:sz w:val="20"/>
          <w:szCs w:val="20"/>
          <w:color w:val="auto"/>
        </w:rPr>
      </w:pPr>
    </w:p>
    <w:p>
      <w:pPr>
        <w:ind w:right="80" w:firstLine="318"/>
        <w:spacing w:after="0" w:line="276" w:lineRule="auto"/>
        <w:rPr>
          <w:sz w:val="20"/>
          <w:szCs w:val="20"/>
          <w:color w:val="auto"/>
        </w:rPr>
      </w:pPr>
      <w:r>
        <w:rPr>
          <w:rFonts w:ascii="Times New Roman" w:cs="Times New Roman" w:eastAsia="Times New Roman" w:hAnsi="Times New Roman"/>
          <w:sz w:val="17"/>
          <w:szCs w:val="17"/>
          <w:color w:val="auto"/>
        </w:rPr>
        <w:t>At the national level, Germany has implemented portions of the above into its Road Transport Law (</w:t>
      </w:r>
      <w:r>
        <w:rPr>
          <w:rFonts w:ascii="Times New Roman" w:cs="Times New Roman" w:eastAsia="Times New Roman" w:hAnsi="Times New Roman"/>
          <w:sz w:val="17"/>
          <w:szCs w:val="17"/>
          <w:i w:val="1"/>
          <w:iCs w:val="1"/>
          <w:color w:val="auto"/>
        </w:rPr>
        <w:t>Straßenverkehrsgesetz</w:t>
      </w:r>
      <w:r>
        <w:rPr>
          <w:rFonts w:ascii="Times New Roman" w:cs="Times New Roman" w:eastAsia="Times New Roman" w:hAnsi="Times New Roman"/>
          <w:sz w:val="17"/>
          <w:szCs w:val="17"/>
          <w:color w:val="auto"/>
        </w:rPr>
        <w:t>), Road Traffic Licensing Regulations (</w:t>
      </w:r>
      <w:r>
        <w:rPr>
          <w:rFonts w:ascii="Times New Roman" w:cs="Times New Roman" w:eastAsia="Times New Roman" w:hAnsi="Times New Roman"/>
          <w:sz w:val="17"/>
          <w:szCs w:val="17"/>
          <w:i w:val="1"/>
          <w:iCs w:val="1"/>
          <w:color w:val="auto"/>
        </w:rPr>
        <w:t>Straßenverkehrszulassungsordnung</w:t>
      </w:r>
      <w:r>
        <w:rPr>
          <w:rFonts w:ascii="Times New Roman" w:cs="Times New Roman" w:eastAsia="Times New Roman" w:hAnsi="Times New Roman"/>
          <w:sz w:val="17"/>
          <w:szCs w:val="17"/>
          <w:color w:val="auto"/>
        </w:rPr>
        <w:t>) and EG-Vehicle Approval Regulation (</w:t>
      </w:r>
      <w:r>
        <w:rPr>
          <w:rFonts w:ascii="Times New Roman" w:cs="Times New Roman" w:eastAsia="Times New Roman" w:hAnsi="Times New Roman"/>
          <w:sz w:val="17"/>
          <w:szCs w:val="17"/>
          <w:i w:val="1"/>
          <w:iCs w:val="1"/>
          <w:color w:val="auto"/>
        </w:rPr>
        <w:t>EG-Fahrzeuggenehmigungsverordnung</w:t>
      </w:r>
      <w:r>
        <w:rPr>
          <w:rFonts w:ascii="Times New Roman" w:cs="Times New Roman" w:eastAsia="Times New Roman" w:hAnsi="Times New Roman"/>
          <w:sz w:val="17"/>
          <w:szCs w:val="17"/>
          <w:color w:val="auto"/>
        </w:rPr>
        <w:t>). In order to be accredited as a manufacturer with the German Federal Motor Vehicle and Transport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Authority (</w:t>
      </w:r>
      <w:r>
        <w:rPr>
          <w:rFonts w:ascii="Times New Roman" w:cs="Times New Roman" w:eastAsia="Times New Roman" w:hAnsi="Times New Roman"/>
          <w:sz w:val="17"/>
          <w:szCs w:val="17"/>
          <w:i w:val="1"/>
          <w:iCs w:val="1"/>
          <w:color w:val="auto"/>
        </w:rPr>
        <w:t>Kraftfahrbundesamt</w:t>
      </w:r>
      <w:r>
        <w:rPr>
          <w:rFonts w:ascii="Times New Roman" w:cs="Times New Roman" w:eastAsia="Times New Roman" w:hAnsi="Times New Roman"/>
          <w:sz w:val="17"/>
          <w:szCs w:val="17"/>
          <w:color w:val="auto"/>
        </w:rPr>
        <w:t>) we are required to implement a quality management system to provide proof of conformity of production.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Product Safety Liability</w:t>
      </w:r>
    </w:p>
    <w:p>
      <w:pPr>
        <w:spacing w:after="0" w:line="22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Our vehicles will also have to comply with product-specific or general, non-specific product safety and product liability legislation and associated regulations.</w:t>
      </w:r>
    </w:p>
    <w:p>
      <w:pPr>
        <w:spacing w:after="0" w:line="164"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The EU has passed a directive on general product safety that applies in the absence of specific provisions among the EU regulations governing the safety of the products concerned, or if legislation on the sector is insufficient. Under this directive, manufacturers and distributors may only market products that comply with a general requirement of consumer safety. A product is safe if it does not present any risk or only the minimum risks compatible with the product’s use considered to be acceptable and consistent with a high level of protection for the safety and health of persons. In addition to compliance with the safety requirement, manufacturers and distributors must provide consumers with the necessary information in order to assess a product’s inherent risks and take the necessary measures to avoid such threats (for example, withdraw products from the market, inform consumers and recall</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Strict liability applies for defective products throughout the EU in addition to any consumer protections at the national level.</w:t>
      </w:r>
    </w:p>
    <w:p>
      <w:pPr>
        <w:spacing w:after="0" w:line="216" w:lineRule="exact"/>
        <w:rPr>
          <w:sz w:val="20"/>
          <w:szCs w:val="20"/>
          <w:color w:val="auto"/>
        </w:rPr>
      </w:pPr>
    </w:p>
    <w:p>
      <w:pPr>
        <w:ind w:right="280" w:firstLine="318"/>
        <w:spacing w:after="0" w:line="261" w:lineRule="auto"/>
        <w:rPr>
          <w:sz w:val="20"/>
          <w:szCs w:val="20"/>
          <w:color w:val="auto"/>
        </w:rPr>
      </w:pPr>
      <w:r>
        <w:rPr>
          <w:rFonts w:ascii="Times New Roman" w:cs="Times New Roman" w:eastAsia="Times New Roman" w:hAnsi="Times New Roman"/>
          <w:sz w:val="18"/>
          <w:szCs w:val="18"/>
          <w:color w:val="auto"/>
        </w:rPr>
        <w:t>In Germany, the EU requirements have been implemented via the Product Safety Act (</w:t>
      </w:r>
      <w:r>
        <w:rPr>
          <w:rFonts w:ascii="Times New Roman" w:cs="Times New Roman" w:eastAsia="Times New Roman" w:hAnsi="Times New Roman"/>
          <w:sz w:val="18"/>
          <w:szCs w:val="18"/>
          <w:i w:val="1"/>
          <w:iCs w:val="1"/>
          <w:color w:val="auto"/>
        </w:rPr>
        <w:t>Produktsicherheitsgesetz</w:t>
      </w:r>
      <w:r>
        <w:rPr>
          <w:rFonts w:ascii="Times New Roman" w:cs="Times New Roman" w:eastAsia="Times New Roman" w:hAnsi="Times New Roman"/>
          <w:sz w:val="18"/>
          <w:szCs w:val="18"/>
          <w:color w:val="auto"/>
        </w:rPr>
        <w:t>) and the Product Liability Act (</w:t>
      </w:r>
      <w:r>
        <w:rPr>
          <w:rFonts w:ascii="Times New Roman" w:cs="Times New Roman" w:eastAsia="Times New Roman" w:hAnsi="Times New Roman"/>
          <w:sz w:val="18"/>
          <w:szCs w:val="18"/>
          <w:i w:val="1"/>
          <w:iCs w:val="1"/>
          <w:color w:val="auto"/>
        </w:rPr>
        <w:t>Produkthaftungsgesetz</w:t>
      </w:r>
      <w:r>
        <w:rPr>
          <w:rFonts w:ascii="Times New Roman" w:cs="Times New Roman" w:eastAsia="Times New Roman" w:hAnsi="Times New Roman"/>
          <w:sz w:val="18"/>
          <w:szCs w:val="18"/>
          <w:color w:val="auto"/>
        </w:rPr>
        <w:t>), which are accompanied by the more general provisions under the tort law codified in the German Civil Code § 823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Emissions and Regulatory Incentives</w:t>
      </w:r>
    </w:p>
    <w:p>
      <w:pPr>
        <w:spacing w:after="0" w:line="220"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The protection of air quality and reduction of greenhouse gas emissions is a priority in the EU and car manufacturers relying on internal combustion engines must comply with increasingly stringent standards on vehicle emissions. The current environment of the EU and regulatory initiatives strongly support the development, production and sale of alternative fuel vehicles and their overall market adoption. In line with the international climate agreement signed at the 2015 United Nations Framework Convention on Climate Change in Paris by nearly 200 nations (commonly referred to as the “Paris Agreement”), which became effective in November 2016 and consists of two elements (a commitment by each participating country to set a voluntary emissions reduction target (referred to as “nationally determined contributions” or “NDCs”), with a review of the NDCs that could lead to updates and enhancements every five years beginning in 2023, and a transparency commitment requiring participating countries to disclose their progress), as well as based on emission legislation, the EU is taking a progressive stance in reducing carbon oxide emissions, thereby deliberately driving increasing demand for electric vehicles.</w:t>
      </w:r>
    </w:p>
    <w:p>
      <w:pPr>
        <w:spacing w:after="0" w:line="187" w:lineRule="exact"/>
        <w:rPr>
          <w:sz w:val="20"/>
          <w:szCs w:val="20"/>
          <w:color w:val="auto"/>
        </w:rPr>
      </w:pPr>
    </w:p>
    <w:p>
      <w:pPr>
        <w:ind w:right="160" w:firstLine="318"/>
        <w:spacing w:after="0" w:line="269" w:lineRule="auto"/>
        <w:rPr>
          <w:sz w:val="20"/>
          <w:szCs w:val="20"/>
          <w:color w:val="auto"/>
        </w:rPr>
      </w:pPr>
      <w:r>
        <w:rPr>
          <w:rFonts w:ascii="Times New Roman" w:cs="Times New Roman" w:eastAsia="Times New Roman" w:hAnsi="Times New Roman"/>
          <w:sz w:val="17"/>
          <w:szCs w:val="17"/>
          <w:color w:val="auto"/>
        </w:rPr>
        <w:t>In that context and against the background of the EU’s green deal, the EU implemented the Euro 6 regulatory framework (“Euro 6”), which became mandatory in stages, depending on the vehicle, beginning from September 2014 onwards. Under Euro 6, new passenger vehicles only receive vehicle type approval in the EU if such vehicles comply with defined maximum emission volumes regarding carbon monoxide, hydrocarbons, nitrogen oxides, ammonia and particulates. Implementation of Euro 6 in the EU member states did not require additional legislation at the national level. National authorities monitor compliance and have the ability to recall non-compliant vehicles. The European Commission has started the development of the next level of emission standards known as “Euro 7.”</w:t>
      </w:r>
    </w:p>
    <w:p>
      <w:pPr>
        <w:spacing w:after="0" w:line="171" w:lineRule="exact"/>
        <w:rPr>
          <w:sz w:val="20"/>
          <w:szCs w:val="20"/>
          <w:color w:val="auto"/>
        </w:rPr>
      </w:pPr>
    </w:p>
    <w:p>
      <w:pPr>
        <w:ind w:right="180" w:firstLine="318"/>
        <w:spacing w:after="0" w:line="248" w:lineRule="auto"/>
        <w:rPr>
          <w:sz w:val="20"/>
          <w:szCs w:val="20"/>
          <w:color w:val="auto"/>
        </w:rPr>
      </w:pPr>
      <w:r>
        <w:rPr>
          <w:rFonts w:ascii="Times New Roman" w:cs="Times New Roman" w:eastAsia="Times New Roman" w:hAnsi="Times New Roman"/>
          <w:sz w:val="18"/>
          <w:szCs w:val="18"/>
          <w:color w:val="auto"/>
        </w:rPr>
        <w:t>Furthermore, the EU has implemented mandatory CO2 emissions targets. At present, all car manufacturers must meet a fleet-wide average emission target of 95g CO2/km for their new vehicle fleets that are registered in the EU. Car manufacturers are given additional incentives to produce zero- or low-emission cars emitting less than 50g CO2/km through a fleet-wide credits system. The regulation also provides for fleet-wide average CO2/km emissions targets for the years 2025 and 2030, which are defined as a percentage reduction from the current applicable values: Cars are subject to a fleet-wide reduction of 15% in 2025 and 37.5% in 2030, while vans are subject to a fleet-wide reduction of 15% in 2025 and 31% in 2030. The regulation also allows for pooling arrangements among several manufacturers of passenger cars or vans based on which these manufacturers will be treated as a single “pool” and their compliance with emission limits assessed on an aggregated basis at the pool level. Car manufacturers are subject to penalty payments if the fleet-wide average emission of CO2/km of the relevant car manufacturer exceeds the defined target values in a given year. The monetary penalty is calculated based on a predetermined euro amount (currently € 95) for each gram of CO2/km exceeding the relevant target value multiplied by the number of vehicles produced by the relevant car manufacturer.</w:t>
      </w:r>
    </w:p>
    <w:p>
      <w:pPr>
        <w:spacing w:after="0" w:line="19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adoption of electric mobility is further promoted on the national level within the EU. The vast majority of member states of the EU provide purchase grants, tax benefits or other incentive schemes to buyers of electric vehicles. For example, German governments on a state and federal level have implemented various incentive schemes to drive the adoption of electric mobility. Individual buyers of purely electric vehicles receive tax benefits in the form of ownership tax exemptions up to December 31, 2030 based on an amendment of the German Motor Vehicle Tax Act (</w:t>
      </w:r>
      <w:r>
        <w:rPr>
          <w:rFonts w:ascii="Times New Roman" w:cs="Times New Roman" w:eastAsia="Times New Roman" w:hAnsi="Times New Roman"/>
          <w:sz w:val="18"/>
          <w:szCs w:val="18"/>
          <w:i w:val="1"/>
          <w:iCs w:val="1"/>
          <w:color w:val="auto"/>
        </w:rPr>
        <w:t>Kraftfahrzeugsteuergesetz</w:t>
      </w:r>
      <w:r>
        <w:rPr>
          <w:rFonts w:ascii="Times New Roman" w:cs="Times New Roman" w:eastAsia="Times New Roman" w:hAnsi="Times New Roman"/>
          <w:sz w:val="18"/>
          <w:szCs w:val="18"/>
          <w:color w:val="auto"/>
        </w:rPr>
        <w:t>). The work- or company-related use of electric vehicles receives preferential tax treatment as well. The German Federal Office for Economic Affairs and Export Control has set up an “environmental bonus program” (so-called innovation bonus) under which buyers of new fully electric vehicles may receive a one-time grant in the amount of up to nine thousand euros (of which the relevant car manufacturer has to bear a share of three thousand euros in order to lead to a customer claim under the bonus program of up to six thousand euros in form of a government bonus) during a limited period of time and depending on the net list price of the relevant vehicle. Buyers of fully electric vehicles registered for the first time after June 3, 2020, and until December 31, 2021, will receive an extra innovation bonus in the same amount. The federal German Electro Mobility Act (</w:t>
      </w:r>
      <w:r>
        <w:rPr>
          <w:rFonts w:ascii="Times New Roman" w:cs="Times New Roman" w:eastAsia="Times New Roman" w:hAnsi="Times New Roman"/>
          <w:sz w:val="18"/>
          <w:szCs w:val="18"/>
          <w:i w:val="1"/>
          <w:iCs w:val="1"/>
          <w:color w:val="auto"/>
        </w:rPr>
        <w:t>Elektromobilitätsgesetz</w:t>
      </w:r>
      <w:r>
        <w:rPr>
          <w:rFonts w:ascii="Times New Roman" w:cs="Times New Roman" w:eastAsia="Times New Roman" w:hAnsi="Times New Roman"/>
          <w:sz w:val="18"/>
          <w:szCs w:val="18"/>
          <w:color w:val="auto"/>
        </w:rPr>
        <w:t>) and various incentives granted on the state or municipal level provide for various privileges electric vehicles, including, for example, the allocation of special parking spaces at charging stations in public areas, the reduction or waiver of parking fees, permitted bus lane use as well as exemptions from certain access restrictions.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Renewable Energy Requirements</w:t>
      </w:r>
    </w:p>
    <w:p>
      <w:pPr>
        <w:spacing w:after="0" w:line="22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laws and regulations within the EU and various other jurisdictions impose energy source requirements for the transportation sector, which also aim at the reduction of the emission of greenhouse gases and the promotion of the adoption of alternative fuel or electric vehicles. A directive adopted in 2018, which has to be implemented by the EU member states until June 30, 2021, establishes a common system on the promotion of energy from renewable sources (such as wind, solar (both solar thermal and solar solar) and geothermal energy, tide, wave and other ocean energy, hydropower or biomass) in electricity, heating and cooling, and transport and provides a framework for the promotion of the use of renewable energy sources in the EU until 2030. The directive defines a binding overall target of at least 32% of energy from renewable sources for the EU’s gross final energy consumption by 2030 (calculated as the sum of the member states’ gross final consumption of electricity and energy in various sectors) and promotes the use of renewable energy in transport, particularly prioritizing electricity, with a target of at least 14% renewables in the final energy consumption mix by 2030. The directive envisages electric mobility to constitute a substantial part of the renewable energy mix in the transport sector by the year 2030 and is a cornerstone for the adoption and integration of electric mobility within the EU, as it also supports incentive schemes for the swift development of electric mobility with respect to the sector’s growth potential and role for the EU employment market. In addition, the directive seeks to boost the use of renewable electricity in the transport sector by applying augmented multipliers in the context of the calculation of the relevant energy mix under the directive.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Environmental Control</w:t>
      </w:r>
    </w:p>
    <w:p>
      <w:pPr>
        <w:spacing w:after="0" w:line="220" w:lineRule="exact"/>
        <w:rPr>
          <w:sz w:val="20"/>
          <w:szCs w:val="20"/>
          <w:color w:val="auto"/>
        </w:rPr>
      </w:pPr>
    </w:p>
    <w:p>
      <w:pPr>
        <w:ind w:right="200" w:firstLine="318"/>
        <w:spacing w:after="0" w:line="260" w:lineRule="auto"/>
        <w:rPr>
          <w:sz w:val="20"/>
          <w:szCs w:val="20"/>
          <w:color w:val="auto"/>
        </w:rPr>
      </w:pPr>
      <w:r>
        <w:rPr>
          <w:rFonts w:ascii="Times New Roman" w:cs="Times New Roman" w:eastAsia="Times New Roman" w:hAnsi="Times New Roman"/>
          <w:sz w:val="18"/>
          <w:szCs w:val="18"/>
          <w:color w:val="auto"/>
        </w:rPr>
        <w:t>All member states of the EU control the manufacture, use and disposal of pollutants by means of regulations on air pollutants, chemicals, heavy metals, persistent organic pollutants, soil contamination and biocides. The operations of manufacturers, particularly our production, logistics and transport processes as well as end products, must comply with these regulations.</w:t>
      </w:r>
    </w:p>
    <w:p>
      <w:pPr>
        <w:spacing w:after="0" w:line="176"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The most relevant legal frameworks are the Regulation for Registration, Evaluation, Authorization and Restriction of Chemicals (“REACH”) and the Regulation on Classification, Labeling and Packaging of Substances and Mixtures (“CLP”). REACH requires manufacturers and importers of chemicals to identify and manage risks linked to the substances they manufacture and market, to submit a registration dossier for substances produced or imported in quantities of one ton or more per year per company, and to provide downstream users with risk information to ensure proper application of such substances. In addition, for “substances of very high concern,” REACH may require government authorization for further use or impose restrictions in the future, any of which may delay or increase the costs of operations. CLP complements REACH by requiring suppliers of substances and mixtures, including manufacturers, downstream users and distributors, to apply harmonized criteria to their classification and labeling.</w:t>
      </w:r>
    </w:p>
    <w:p>
      <w:pPr>
        <w:spacing w:after="0" w:line="185"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Substance restrictions under REACH in some cases prohibit the marketing in the EU of articles containing certain substances. This is particularly relevant in relation to spare parts for products, which were designed before a relevant restriction was adopted and which are no longer in mass production (“legacy parts”). Similar problems may arise if a substance is placed under an authorization requirement under REACH and may, therefore, not be used for the production of legacy parts without a corresponding authorization. REACH does not include general exemptions with regard to legacy parts (so-called “repair as produced” clauses).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Emissions from Production</w:t>
      </w:r>
    </w:p>
    <w:p>
      <w:pPr>
        <w:spacing w:after="0" w:line="22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Emissions from production, such as air pollutants, noise, odors, vibrations and greenhouse gases (such as CO2), are governed by specific laws and regulations, and, if the operation of a facility is subject to a permit, by specific conditions set forth therein. Some laws and regulations require the submission of emission reports on a regular basis. Non-compliance with maximum emission levels may result in administrative fines.</w:t>
      </w:r>
    </w:p>
    <w:p>
      <w:pPr>
        <w:spacing w:after="0" w:line="182"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International, as well as European and national regulations, may have repercussions on the operation of the relevant production facilities. For example, stricter regulation of CO2 emissions could cause manufacturers to incur significant capital expenditures to upgrade production plants by installing or improving technical equipment to comply with maximum emission levels that may become applicable in the future, which may also affect their ability to sell their products at predetermined price levels.</w:t>
      </w:r>
    </w:p>
    <w:p>
      <w:pPr>
        <w:spacing w:after="0" w:line="182" w:lineRule="exact"/>
        <w:rPr>
          <w:sz w:val="20"/>
          <w:szCs w:val="20"/>
          <w:color w:val="auto"/>
        </w:rPr>
      </w:pPr>
    </w:p>
    <w:p>
      <w:pPr>
        <w:jc w:val="both"/>
        <w:ind w:right="180" w:firstLine="318"/>
        <w:spacing w:after="0" w:line="260" w:lineRule="auto"/>
        <w:rPr>
          <w:sz w:val="20"/>
          <w:szCs w:val="20"/>
          <w:color w:val="auto"/>
        </w:rPr>
      </w:pPr>
      <w:r>
        <w:rPr>
          <w:rFonts w:ascii="Times New Roman" w:cs="Times New Roman" w:eastAsia="Times New Roman" w:hAnsi="Times New Roman"/>
          <w:sz w:val="18"/>
          <w:szCs w:val="18"/>
          <w:color w:val="auto"/>
        </w:rPr>
        <w:t>Emission trading systems for emissions from industrial production exist on the European and national level. These systems are based on “cap and trade” principles designed to reduce carbon dioxide emissions by limiting the number of emission allowances (cap) required for certain facilities and allowing the purchase for shortfall or the sale of surplus emission allowances (trade).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Reuse, Recycling and Recovery</w:t>
      </w:r>
    </w:p>
    <w:p>
      <w:pPr>
        <w:spacing w:after="0" w:line="22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Manufacturers may also be obligated to assist customers with the disposal, recovery and recycling of certain underlying components of their products once they have reached their end-of-life/disposal stage.</w:t>
      </w:r>
    </w:p>
    <w:p>
      <w:pPr>
        <w:spacing w:after="0" w:line="164"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An EU directive on batteries (the “Batteries Directive”) governs the recovery of batteries within the EU. The Batteries Directive requires manufacturers and distributors of batteries to bear a significant amount of the costs associated with proper collection and disposal of end-of-life batteries. As batteries are a substantial component of our vehicles, we may have to (potentially) incur additional costs and administrative burdens to comply with laws governing the recovery of batteries and other similar laws.</w:t>
      </w:r>
    </w:p>
    <w:p>
      <w:pPr>
        <w:spacing w:after="0" w:line="182"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Furthermore, an EU directive on end-of-life vehicles, commonly known as the ELV Directive, and an EU directive on waste electric and electronic equipment, commonly known as the WEEE Directive, each govern the recovery of motor vehicles and electric and electronic equipment within the EU, providing for ambitious recovery, reuse and recycling rates. The directives require that manufacturers cover all, or a significant part of, the costs associated with recovery, reuse and recycling measures. The aforementioned directives, including the Batteries Directive, as well as an EU directive on the restrictions of the use of certain hazardous substances in electrical and electronic equipment, limit manufacturing options because they also contain prohibitions on the use of certain identified substances and materials.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Cross-border Import and Export of Products</w:t>
      </w:r>
    </w:p>
    <w:p>
      <w:pPr>
        <w:spacing w:after="0" w:line="220"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Sales of our products may be subject to export control and sanction regulations, as well as trade policy measures, such as tariffs. We may be required to comply with export control regulations, trade and economic sanctions restrictions and embargoes imposed by multiple authorities, such as the United Nations, the EU and the United States. In addition, the EU, United States and other applicable sanctions and embargo laws and regulations vary in their application (and may be inconsistent): they do not all apply to the same covered countries, persons, groups and/or entities, projects and/or activities, and such sanctions and embargo laws and regulations may be amended or strengthened from time to time.</w:t>
      </w:r>
    </w:p>
    <w:p>
      <w:pPr>
        <w:spacing w:after="0" w:line="187"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Within our primary target market, the EU’s internal market, the principle of free movement of goods applies. When importing good from, and exporting goods to, non-EU countries, we will have to comply with national and European foreign trade and customs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and Privacy</w:t>
      </w:r>
    </w:p>
    <w:p>
      <w:pPr>
        <w:spacing w:after="0" w:line="220" w:lineRule="exact"/>
        <w:rPr>
          <w:sz w:val="20"/>
          <w:szCs w:val="20"/>
          <w:color w:val="auto"/>
        </w:rPr>
      </w:pPr>
    </w:p>
    <w:p>
      <w:pPr>
        <w:ind w:right="280" w:firstLine="318"/>
        <w:spacing w:after="0" w:line="260" w:lineRule="auto"/>
        <w:rPr>
          <w:sz w:val="20"/>
          <w:szCs w:val="20"/>
          <w:color w:val="auto"/>
        </w:rPr>
      </w:pPr>
      <w:r>
        <w:rPr>
          <w:rFonts w:ascii="Times New Roman" w:cs="Times New Roman" w:eastAsia="Times New Roman" w:hAnsi="Times New Roman"/>
          <w:sz w:val="18"/>
          <w:szCs w:val="18"/>
          <w:color w:val="auto"/>
        </w:rPr>
        <w:t>We plan to include various digital offerings in our vehicles to be accessible via our own app and plan to continue to further develop connectivity solutions for our customers. We will also obtain data from our customers as they reserve cars or as we sell cars online. Regulations governing data protection can therefore have a significant impact on our business.</w:t>
      </w:r>
    </w:p>
    <w:p>
      <w:pPr>
        <w:spacing w:after="0" w:line="176"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The GDPR applies to the processing of personal data in the context of activities of establishments in the EEA, regardless of whether the processing takes place in the EEA or not.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The GDPR also requires the implementation of appropriate technical and organizational measures, depending on the nature of the processing activities. It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so-called data protection impact assessments, at least in cases where the data processing is likely to result in a high risk to the rights and freedoms of individuals. In Germany, operators of online platforms have to comply with the specific requirements of the German Tele Media Act (</w:t>
      </w:r>
      <w:r>
        <w:rPr>
          <w:rFonts w:ascii="Times New Roman" w:cs="Times New Roman" w:eastAsia="Times New Roman" w:hAnsi="Times New Roman"/>
          <w:sz w:val="17"/>
          <w:szCs w:val="17"/>
          <w:i w:val="1"/>
          <w:iCs w:val="1"/>
          <w:color w:val="auto"/>
        </w:rPr>
        <w:t>Telemediengesetz</w:t>
      </w:r>
      <w:r>
        <w:rPr>
          <w:rFonts w:ascii="Times New Roman" w:cs="Times New Roman" w:eastAsia="Times New Roman" w:hAnsi="Times New Roman"/>
          <w:sz w:val="17"/>
          <w:szCs w:val="17"/>
          <w:color w:val="auto"/>
        </w:rPr>
        <w:t>), which takes into consideration particular aspects of online communication. For example, the German Tele Media Act provides for additional information obligations which are stricter than the general requirements of the Data Protection Act (e.g., a requirement to include an imprint on websites and apps).</w:t>
      </w:r>
    </w:p>
    <w:p>
      <w:pPr>
        <w:spacing w:after="0" w:line="179"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An EU directive on the processing of personal data and the protection of personal data in the electronic communications sector adopted in 2002 sets out rules to ensure security in the processing of personal data, the notification of personal data breaches and confidentiality of communications through public electronic communication services such as the internet and mobile telephony. Providers of such electronic communication services must, among others, ensure that personal data are accessed by authorized persons only, are protected from being destroyed, lost or accidentally altered and from other unlawful or unauthorized forms of processing and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ensure the implementation of a security policy on the processing of personal data. The e-Privacy Directive also contains several provisions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aimed at ensuring the confidentiality of electronic communications and sets forth strict (consent) requirements for the use of cookies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unsolicited communication as part of direct marketing efforts. The e-Privacy Directive has been implemented in the Netherlands by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Dutch Telecommunications Act (</w:t>
      </w:r>
      <w:r>
        <w:rPr>
          <w:rFonts w:ascii="Times New Roman" w:cs="Times New Roman" w:eastAsia="Times New Roman" w:hAnsi="Times New Roman"/>
          <w:sz w:val="18"/>
          <w:szCs w:val="18"/>
          <w:i w:val="1"/>
          <w:iCs w:val="1"/>
          <w:color w:val="auto"/>
        </w:rPr>
        <w:t>Telecommunicatiewet</w:t>
      </w:r>
      <w:r>
        <w:rPr>
          <w:rFonts w:ascii="Times New Roman" w:cs="Times New Roman" w:eastAsia="Times New Roman" w:hAnsi="Times New Roman"/>
          <w:sz w:val="18"/>
          <w:szCs w:val="18"/>
          <w:color w:val="auto"/>
        </w:rPr>
        <w:t>) and in Germany by the German Telecommunications 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Telekommunikationsgesetz</w:t>
      </w:r>
      <w:r>
        <w:rPr>
          <w:rFonts w:ascii="Times New Roman" w:cs="Times New Roman" w:eastAsia="Times New Roman" w:hAnsi="Times New Roman"/>
          <w:sz w:val="18"/>
          <w:szCs w:val="18"/>
          <w:color w:val="auto"/>
        </w:rPr>
        <w:t>). On January 10, 2017, the European Commission released a proposal for a regulation of the European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Parliament and of the Council of the EU concerning the respect for private life and the protection of personal data in electronic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(the e-Privacy Regulation), which would repeal the e-Privacy Directive. The proposal is still subject to legislative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 and debate.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Antitrust Law</w:t>
      </w:r>
    </w:p>
    <w:p>
      <w:pPr>
        <w:spacing w:after="0" w:line="220"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Competition and antitrust laws and regulations are designed to preserve free and open competition in the marketplace to enhance competitiveness and economic efficiency. Provisions on merger control, the prohibition of anticompetitive agreements, collusive behavior, the prohibition of abuse of a dominant position and the receipt of advantages in violation of state aid rules within the market are of particular relevance for manufacturers. National and supranational competition and antitrust authorities may initiate investigations and proceedings for alleged infringements of competition or antitrust laws, which may result in significant fines or other forms of liability or impose certain limitations or conditions regarding acquisitions and certain business practices.</w:t>
      </w:r>
    </w:p>
    <w:p>
      <w:pPr>
        <w:spacing w:after="0" w:line="187"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Within the EU, compliance with applicable European and national competition laws is monitored by the European Commission and in some cases the national competition authorities. The EU’s antitrust rules are set out in Articles 101 and 102 of the Treaty on the Functioning of the European Union (“TFEU”). Article 101(1) of the TFEU prohibits anticompetitive agreements to the extent they are not otherwise exempted by Article 101(3) of the TFEU. Article 102 TFEU prohibits the abuse of a dominant position. Article 107 (1) TFEU prohibits the granting of state aid.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Actions to Enforce Regulations</w:t>
      </w:r>
    </w:p>
    <w:p>
      <w:pPr>
        <w:spacing w:after="0" w:line="220"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In the EU and certain of its member states, there is or has been an increasing prevalence of legislation governing class actions and their use to enforce regulations. As a result of these developments, consumers have increasingly powerful legal mechanisms at their disposal to collectively sue manufacturers of consumer products.</w:t>
      </w:r>
    </w:p>
    <w:p>
      <w:pPr>
        <w:spacing w:after="0" w:line="176"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auto"/>
        </w:rPr>
        <w:t>In the EU, under the banner of “A New Deal for Consumers,” the European Commission is facilitating a trend towards the increasing availability and use of collective redress mechanisms in areas in which EU law grants rights, including in particular consumer protection rules and regulations. The European Commission made a non-binding recommendation for EU member states to adopt collective redress procedures in June 2013, subsequently consulted on progress in 2017 and published a report on the subject in January 2018. A proposal for a new directive regarding “better enforcement and modernization of EU consumer protection rules” has been put forward by the European Commission. EU member states have also been developing their own rules in this regard. In Germany a law introducing a declaratory model action (</w:t>
      </w:r>
      <w:r>
        <w:rPr>
          <w:rFonts w:ascii="Times New Roman" w:cs="Times New Roman" w:eastAsia="Times New Roman" w:hAnsi="Times New Roman"/>
          <w:sz w:val="17"/>
          <w:szCs w:val="17"/>
          <w:i w:val="1"/>
          <w:iCs w:val="1"/>
          <w:color w:val="auto"/>
        </w:rPr>
        <w:t>Musterfeststellungsklage</w:t>
      </w:r>
      <w:r>
        <w:rPr>
          <w:rFonts w:ascii="Times New Roman" w:cs="Times New Roman" w:eastAsia="Times New Roman" w:hAnsi="Times New Roman"/>
          <w:sz w:val="17"/>
          <w:szCs w:val="17"/>
          <w:color w:val="auto"/>
        </w:rPr>
        <w:t>) came into force on November 1, 2018. With this new declaratory model action, certain persons are entitled to seek a legal declaration concerning factual or legal matters regarding consumer claims. Consumers can then opt in to be bound by a judgment (and under certain circumstances also a settlement) issued in the declaratory model proceedings.</w:t>
      </w:r>
    </w:p>
    <w:p>
      <w:pPr>
        <w:spacing w:after="0" w:line="173"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In The Netherlands, in the event a third party is liable to a Dutch company, only the company itself can bring a civil action against that party. The individual shareholders do not have the right to bring an action on behalf of the company. Only in the event that the cause for the liability of a third party to the company also constitutes a tortious act directly against a shareholder does that shareholder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218" w:lineRule="exact"/>
        <w:rPr>
          <w:sz w:val="20"/>
          <w:szCs w:val="20"/>
          <w:color w:val="auto"/>
        </w:rPr>
      </w:pPr>
    </w:p>
    <w:p>
      <w:pPr>
        <w:jc w:val="center"/>
        <w:ind w:right="560"/>
        <w:spacing w:after="0" w:line="307" w:lineRule="auto"/>
        <w:rPr>
          <w:sz w:val="20"/>
          <w:szCs w:val="20"/>
          <w:color w:val="auto"/>
        </w:rPr>
      </w:pPr>
      <w:r>
        <w:rPr>
          <w:rFonts w:ascii="Times New Roman" w:cs="Times New Roman" w:eastAsia="Times New Roman" w:hAnsi="Times New Roman"/>
          <w:sz w:val="17"/>
          <w:szCs w:val="17"/>
          <w:color w:val="auto"/>
        </w:rPr>
        <w:t>We have a two-tier board structure consisting of a management board (</w:t>
      </w:r>
      <w:r>
        <w:rPr>
          <w:rFonts w:ascii="Times New Roman" w:cs="Times New Roman" w:eastAsia="Times New Roman" w:hAnsi="Times New Roman"/>
          <w:sz w:val="17"/>
          <w:szCs w:val="17"/>
          <w:i w:val="1"/>
          <w:iCs w:val="1"/>
          <w:color w:val="auto"/>
        </w:rPr>
        <w:t>bestuur</w:t>
      </w:r>
      <w:r>
        <w:rPr>
          <w:rFonts w:ascii="Times New Roman" w:cs="Times New Roman" w:eastAsia="Times New Roman" w:hAnsi="Times New Roman"/>
          <w:sz w:val="17"/>
          <w:szCs w:val="17"/>
          <w:color w:val="auto"/>
        </w:rPr>
        <w:t>) and a separate supervisory board (</w:t>
      </w:r>
      <w:r>
        <w:rPr>
          <w:rFonts w:ascii="Times New Roman" w:cs="Times New Roman" w:eastAsia="Times New Roman" w:hAnsi="Times New Roman"/>
          <w:sz w:val="17"/>
          <w:szCs w:val="17"/>
          <w:i w:val="1"/>
          <w:iCs w:val="1"/>
          <w:color w:val="auto"/>
        </w:rPr>
        <w:t>raad van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commissarissen</w:t>
      </w:r>
      <w:r>
        <w:rPr>
          <w:rFonts w:ascii="Times New Roman" w:cs="Times New Roman" w:eastAsia="Times New Roman" w:hAnsi="Times New Roman"/>
          <w:sz w:val="17"/>
          <w:szCs w:val="17"/>
          <w:color w:val="auto"/>
        </w:rPr>
        <w:t>). There are no family relationships among any of our management board members and supervisory board members.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w:t>
      </w:r>
    </w:p>
    <w:p>
      <w:pPr>
        <w:spacing w:after="0" w:line="220" w:lineRule="exact"/>
        <w:rPr>
          <w:sz w:val="20"/>
          <w:szCs w:val="20"/>
          <w:color w:val="auto"/>
        </w:rPr>
      </w:pPr>
    </w:p>
    <w:p>
      <w:pPr>
        <w:jc w:val="both"/>
        <w:ind w:right="120" w:firstLine="318"/>
        <w:spacing w:after="0" w:line="260" w:lineRule="auto"/>
        <w:rPr>
          <w:sz w:val="20"/>
          <w:szCs w:val="20"/>
          <w:color w:val="auto"/>
        </w:rPr>
      </w:pPr>
      <w:r>
        <w:rPr>
          <w:rFonts w:ascii="Times New Roman" w:cs="Times New Roman" w:eastAsia="Times New Roman" w:hAnsi="Times New Roman"/>
          <w:sz w:val="18"/>
          <w:szCs w:val="18"/>
          <w:color w:val="auto"/>
        </w:rPr>
        <w:t>Our management board currently consists of five members. Each management board member of Sono Group N.V. holds office for the term set by our general meeting (as set forth in the table below), except in the case of his or her earlier death, resignation or removal. Our management board members do not have a retirement age requirement under our articles of association.</w:t>
      </w:r>
    </w:p>
    <w:p>
      <w:pPr>
        <w:spacing w:after="0" w:line="176" w:lineRule="exact"/>
        <w:rPr>
          <w:sz w:val="20"/>
          <w:szCs w:val="20"/>
          <w:color w:val="auto"/>
        </w:rPr>
      </w:pPr>
    </w:p>
    <w:p>
      <w:pPr>
        <w:ind w:right="740" w:firstLine="318"/>
        <w:spacing w:after="0" w:line="274" w:lineRule="auto"/>
        <w:rPr>
          <w:sz w:val="20"/>
          <w:szCs w:val="20"/>
          <w:color w:val="auto"/>
        </w:rPr>
      </w:pPr>
      <w:r>
        <w:rPr>
          <w:rFonts w:ascii="Times New Roman" w:cs="Times New Roman" w:eastAsia="Times New Roman" w:hAnsi="Times New Roman"/>
          <w:sz w:val="18"/>
          <w:szCs w:val="18"/>
          <w:color w:val="auto"/>
        </w:rPr>
        <w:t>Our management board members are responsible for the management and representation of our Company in accordance with applicable laws, our articles of association and the management board’s internal rules.</w:t>
      </w:r>
    </w:p>
    <w:p>
      <w:pPr>
        <w:spacing w:after="0" w:line="164"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our management board members, all of whom we consider executive officers, as well as their ages, term served, the year of expiration of their term as management board members of Sono Group N.V. and position as of June 30,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Term Served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in which</w:t>
            </w:r>
          </w:p>
        </w:tc>
        <w:tc>
          <w:tcPr>
            <w:tcW w:w="140" w:type="dxa"/>
            <w:vAlign w:val="bottom"/>
          </w:tcPr>
          <w:p>
            <w:pPr>
              <w:spacing w:after="0"/>
              <w:rPr>
                <w:sz w:val="13"/>
                <w:szCs w:val="13"/>
                <w:color w:val="auto"/>
              </w:rPr>
            </w:pPr>
          </w:p>
        </w:tc>
        <w:tc>
          <w:tcPr>
            <w:tcW w:w="330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Expires</w:t>
            </w:r>
          </w:p>
        </w:tc>
        <w:tc>
          <w:tcPr>
            <w:tcW w:w="14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40" w:type="dxa"/>
            <w:vAlign w:val="bottom"/>
            <w:tcBorders>
              <w:top w:val="single" w:sz="8" w:color="auto"/>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Laurin Hahn</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28</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2020 – Present</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top w:val="single" w:sz="8" w:color="CCEEFF"/>
            </w:tcBorders>
            <w:shd w:val="clear" w:color="auto" w:fill="CCEEFF"/>
          </w:tcPr>
          <w:p>
            <w:pPr>
              <w:spacing w:after="0"/>
              <w:rPr>
                <w:sz w:val="17"/>
                <w:szCs w:val="17"/>
                <w:color w:val="auto"/>
              </w:rPr>
            </w:pPr>
          </w:p>
        </w:tc>
        <w:tc>
          <w:tcPr>
            <w:tcW w:w="330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Co-Chief Executive Officer and Co-Founder</w:t>
            </w:r>
          </w:p>
        </w:tc>
        <w:tc>
          <w:tcPr>
            <w:tcW w:w="0" w:type="dxa"/>
            <w:vAlign w:val="bottom"/>
          </w:tcPr>
          <w:p>
            <w:pPr>
              <w:spacing w:after="0"/>
              <w:rPr>
                <w:sz w:val="1"/>
                <w:szCs w:val="1"/>
                <w:color w:val="auto"/>
              </w:rPr>
            </w:pPr>
          </w:p>
        </w:tc>
      </w:tr>
      <w:tr>
        <w:trPr>
          <w:trHeight w:val="21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 Christians</w:t>
            </w:r>
          </w:p>
        </w:tc>
        <w:tc>
          <w:tcPr>
            <w:tcW w:w="38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w w:val="99"/>
              </w:rPr>
              <w:t>29</w:t>
            </w:r>
          </w:p>
        </w:tc>
        <w:tc>
          <w:tcPr>
            <w:tcW w:w="16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2020 – Present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Co-Chief Executive Officer and Co-Founder</w:t>
            </w:r>
          </w:p>
        </w:tc>
        <w:tc>
          <w:tcPr>
            <w:tcW w:w="0" w:type="dxa"/>
            <w:vAlign w:val="bottom"/>
          </w:tcPr>
          <w:p>
            <w:pPr>
              <w:spacing w:after="0"/>
              <w:rPr>
                <w:sz w:val="1"/>
                <w:szCs w:val="1"/>
                <w:color w:val="auto"/>
              </w:rPr>
            </w:pPr>
          </w:p>
        </w:tc>
      </w:tr>
      <w:tr>
        <w:trPr>
          <w:trHeight w:val="212"/>
        </w:trPr>
        <w:tc>
          <w:tcPr>
            <w:tcW w:w="384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Torsten Kiedel</w:t>
            </w:r>
            <w:r>
              <w:rPr>
                <w:rFonts w:ascii="Times New Roman" w:cs="Times New Roman" w:eastAsia="Times New Roman" w:hAnsi="Times New Roman"/>
                <w:sz w:val="24"/>
                <w:szCs w:val="24"/>
                <w:color w:val="auto"/>
                <w:vertAlign w:val="superscript"/>
              </w:rPr>
              <w:t>(1)</w:t>
            </w:r>
          </w:p>
        </w:tc>
        <w:tc>
          <w:tcPr>
            <w:tcW w:w="38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44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2021 – Present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2"/>
        </w:trPr>
        <w:tc>
          <w:tcPr>
            <w:tcW w:w="3840" w:type="dxa"/>
            <w:vAlign w:val="bottom"/>
            <w:gridSpan w:val="2"/>
          </w:tcPr>
          <w:p>
            <w:pPr>
              <w:spacing w:after="0" w:line="212" w:lineRule="exact"/>
              <w:rPr>
                <w:sz w:val="20"/>
                <w:szCs w:val="20"/>
                <w:color w:val="auto"/>
              </w:rPr>
            </w:pPr>
            <w:r>
              <w:rPr>
                <w:rFonts w:ascii="Times New Roman" w:cs="Times New Roman" w:eastAsia="Times New Roman" w:hAnsi="Times New Roman"/>
                <w:sz w:val="17"/>
                <w:szCs w:val="17"/>
                <w:color w:val="auto"/>
              </w:rPr>
              <w:t>Thomas Hausch</w:t>
            </w:r>
            <w:r>
              <w:rPr>
                <w:rFonts w:ascii="Times New Roman" w:cs="Times New Roman" w:eastAsia="Times New Roman" w:hAnsi="Times New Roman"/>
                <w:sz w:val="24"/>
                <w:szCs w:val="24"/>
                <w:color w:val="auto"/>
                <w:vertAlign w:val="superscript"/>
              </w:rPr>
              <w:t>(2)</w:t>
            </w:r>
          </w:p>
        </w:tc>
        <w:tc>
          <w:tcPr>
            <w:tcW w:w="38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2021 – Present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12"/>
        </w:trPr>
        <w:tc>
          <w:tcPr>
            <w:tcW w:w="384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Markus Volmer</w:t>
            </w:r>
            <w:r>
              <w:rPr>
                <w:rFonts w:ascii="Times New Roman" w:cs="Times New Roman" w:eastAsia="Times New Roman" w:hAnsi="Times New Roman"/>
                <w:sz w:val="24"/>
                <w:szCs w:val="24"/>
                <w:color w:val="auto"/>
                <w:vertAlign w:val="superscript"/>
              </w:rPr>
              <w:t>(3)</w:t>
            </w:r>
          </w:p>
        </w:tc>
        <w:tc>
          <w:tcPr>
            <w:tcW w:w="38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48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2021 – Present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Technology Officer</w:t>
            </w:r>
          </w:p>
        </w:tc>
        <w:tc>
          <w:tcPr>
            <w:tcW w:w="0" w:type="dxa"/>
            <w:vAlign w:val="bottom"/>
          </w:tcPr>
          <w:p>
            <w:pPr>
              <w:spacing w:after="0"/>
              <w:rPr>
                <w:sz w:val="1"/>
                <w:szCs w:val="1"/>
                <w:color w:val="auto"/>
              </w:rPr>
            </w:pPr>
          </w:p>
        </w:tc>
      </w:tr>
      <w:tr>
        <w:trPr>
          <w:trHeight w:val="106"/>
        </w:trPr>
        <w:tc>
          <w:tcPr>
            <w:tcW w:w="250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right="380" w:hanging="313"/>
        <w:spacing w:after="0" w:line="274" w:lineRule="auto"/>
        <w:tabs>
          <w:tab w:leader="none" w:pos="32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Torsten Kiedel joined Sono Motors on February 1, 2020 and became a member of our management board immediately prior to the pricing of the IPO on November 16, 2021.</w:t>
      </w:r>
    </w:p>
    <w:p>
      <w:pPr>
        <w:spacing w:after="0" w:line="164" w:lineRule="exact"/>
        <w:rPr>
          <w:rFonts w:ascii="Times New Roman" w:cs="Times New Roman" w:eastAsia="Times New Roman" w:hAnsi="Times New Roman"/>
          <w:sz w:val="18"/>
          <w:szCs w:val="18"/>
          <w:color w:val="231F20"/>
        </w:rPr>
      </w:pPr>
    </w:p>
    <w:p>
      <w:pPr>
        <w:ind w:left="320" w:right="500" w:hanging="313"/>
        <w:spacing w:after="0" w:line="274" w:lineRule="auto"/>
        <w:tabs>
          <w:tab w:leader="none" w:pos="32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Thomas Hausch joined Sono Motors on June 13, 2018 and became a member of our management board immediately prior to the pricing of the IPO on November 16, 2021.</w:t>
      </w:r>
    </w:p>
    <w:p>
      <w:pPr>
        <w:spacing w:after="0" w:line="164" w:lineRule="exact"/>
        <w:rPr>
          <w:rFonts w:ascii="Times New Roman" w:cs="Times New Roman" w:eastAsia="Times New Roman" w:hAnsi="Times New Roman"/>
          <w:sz w:val="18"/>
          <w:szCs w:val="18"/>
          <w:color w:val="231F20"/>
        </w:rPr>
      </w:pPr>
    </w:p>
    <w:p>
      <w:pPr>
        <w:ind w:left="320" w:right="320" w:hanging="313"/>
        <w:spacing w:after="0" w:line="274" w:lineRule="auto"/>
        <w:tabs>
          <w:tab w:leader="none" w:pos="32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Markus Volmer joined Sono Motors on February 1, 2021 and became a member of our management board immediately prior to the pricing of the IPO on November 16, 2021.</w:t>
      </w:r>
    </w:p>
    <w:p>
      <w:pPr>
        <w:spacing w:after="0" w:line="164"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The following is a brief summary of the business experience of the members of our management board. Unless otherwise indicated, the current business address for each management board member is the same as our business address: Waldmeisterstraße 76, 80935 Munich, Germany.</w:t>
      </w:r>
    </w:p>
    <w:p>
      <w:pPr>
        <w:spacing w:after="0" w:line="17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Laurin Hahn </w:t>
      </w:r>
      <w:r>
        <w:rPr>
          <w:rFonts w:ascii="Times New Roman" w:cs="Times New Roman" w:eastAsia="Times New Roman" w:hAnsi="Times New Roman"/>
          <w:sz w:val="18"/>
          <w:szCs w:val="18"/>
          <w:color w:val="auto"/>
        </w:rPr>
        <w:t>is a co-founder and Chief Executive Officer (“CEO”) of our Company. Laurin founded his first business in the event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at the age of 17 together with his brothers. Driven by the vision of fostering a system change and fully dedicating his time to the development of an efficient and affordable electric vehicle suitable for everyday use by sourcing the energy from the sun, he embarked on an ambitious journey after graduating from high school in 2012 together with his childhood friend Jona Christians. Within three years, Laurin and Jona built their first electric car with integrated solar panels, which they named the Sion, in a private garage. Based on this project and the vision of a sustainable mobility concept independent of fossil fuels, Laurin and Jona, together with Navina Pernsteiner, incorporated Sono Motors GmbH in early 2016 to further promote their vision and enlarge their team. Laurin, as the visionary heart of Sono Motors, together with Jona, has built Sono Motors into a pioneer for solar electric mobility and a technological leader. Laurin is also a member of the “Entrepreneurs for Future” network. Laurin was recognized by the German magazine Capital for his entrepreneurship and innovative spirit in a “40 under 40” ranking in 2019. In 2020 Laurin was nominated for the entrepreneur of the year Germany 2020 award by Ernst &amp; Young and also nominated as the founder of the most innovative start-up.</w:t>
      </w:r>
    </w:p>
    <w:p>
      <w:pPr>
        <w:spacing w:after="0" w:line="185" w:lineRule="exact"/>
        <w:rPr>
          <w:sz w:val="20"/>
          <w:szCs w:val="20"/>
          <w:color w:val="auto"/>
        </w:rPr>
      </w:pPr>
    </w:p>
    <w:p>
      <w:pPr>
        <w:jc w:val="both"/>
        <w:ind w:right="200" w:firstLine="35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 Christians </w:t>
      </w:r>
      <w:r>
        <w:rPr>
          <w:rFonts w:ascii="Times New Roman" w:cs="Times New Roman" w:eastAsia="Times New Roman" w:hAnsi="Times New Roman"/>
          <w:sz w:val="18"/>
          <w:szCs w:val="18"/>
          <w:color w:val="auto"/>
        </w:rPr>
        <w:t>is the co-founder and CEO of our Company. His main areas of expertise are the Company’s product and innovation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 2016, he co-founded the Company together with his two friends and partners, Laurin Hahn and Navina Pernsteiner. Together with Laurin, he laid the foundation for the Company’s first vehicle, the Sion, and has been running Sono Motors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since then. Jona was inspired by sustainable technology startups such as the Dutch company Fairphone and the nonprofit organization TED. After graduating from high school in 2012, he started to develop and realize his vision of a sustainable mobility concept independent of fossil fuels. As the joint project grew and consolidated, he decided against continuing his studies in computer science and experimental physics and devoted himself fully to the development of the Sion and the management of Sono Motors. At the age of 27, Jona was nominated for the Entrepreneur of the Year, Germany 2020, by Ernst &amp; Young. With Sono Motors, he is among the finalists of the German Sustainability Award Design. In 2020, Sono Motors and its founders were awarded as number one of the Most Innovative Start-Ups in Mobility by Forbes. Next to his role at Sono, Jona currently serves as a member of the entrepreneurial community Leaders for Climate Action.</w:t>
      </w:r>
    </w:p>
    <w:p>
      <w:pPr>
        <w:spacing w:after="0" w:line="181"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Torsten Kiedel </w:t>
      </w:r>
      <w:r>
        <w:rPr>
          <w:rFonts w:ascii="Times New Roman" w:cs="Times New Roman" w:eastAsia="Times New Roman" w:hAnsi="Times New Roman"/>
          <w:sz w:val="18"/>
          <w:szCs w:val="18"/>
          <w:color w:val="auto"/>
        </w:rPr>
        <w:t>has been working in the mobility industry for most of his professional life. He started his career at the BMW Group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2004, where he spent seven years in various finance positions. During his tenure, Torsten also worked three years at the BMW Bank of North America in Salt Lake City, UT. Afterwards, Torsten became Chief Financial Officer of former “myTaxi”, now “Free Now.” After the successful acquisition of “myTaxi” by Daimler Financial Services, Torsten transferred to another Daimler portfolio company, FlixMobility GmbH, now Flix SE, running FlixBuses and FlixTrains mainly in Europe and the U.S., where he served as Vice President Finance, Legal and Procurement for three years, enabling FlixMobility’s international expansion. From March 2018 to January 2020, Torsten served as Chief Financial Officer of Occhio GmbH, a Munich, Germany, based provider of premium lighting solutions. Torsten joined Sono Motors at the beginning of 2020 as Chief Financial Officer.</w:t>
      </w:r>
    </w:p>
    <w:p>
      <w:pPr>
        <w:spacing w:after="0" w:line="185"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Thomas Hausch </w:t>
      </w:r>
      <w:r>
        <w:rPr>
          <w:rFonts w:ascii="Times New Roman" w:cs="Times New Roman" w:eastAsia="Times New Roman" w:hAnsi="Times New Roman"/>
          <w:sz w:val="17"/>
          <w:szCs w:val="17"/>
          <w:color w:val="auto"/>
        </w:rPr>
        <w:t>has more than 25 years of experience in the automotive industry and a vast experience in the areas of development,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manufacturing, sales and marketing. After working on the assembly line, he began his career as an international management associate and project lead at Daimler-Benz AG (now Daimler AG), where he remained until 2011. He was the head of technology strategy for advanced development Mercedes-Benz passenger cars and held various other management positions; later, he served as executive director international sales and marketing, as vice president international sales and, finally, as vice president of the Chrysler Group and chief executive officer of the EMEA region among others. In 2011, he joined CODA Automotive, Inc. as senior vice president responsible for sales, marketing, aftersales and final assembly. In 2013, he joined Nissan Motor Company as managing director of Nissan Center Europe and vice president before joining Sono Motors as Chief Operating Officer in 2018. Thomas holds a degree in industrial engineering and mechanical engineering (</w:t>
      </w:r>
      <w:r>
        <w:rPr>
          <w:rFonts w:ascii="Times New Roman" w:cs="Times New Roman" w:eastAsia="Times New Roman" w:hAnsi="Times New Roman"/>
          <w:sz w:val="17"/>
          <w:szCs w:val="17"/>
          <w:i w:val="1"/>
          <w:iCs w:val="1"/>
          <w:color w:val="auto"/>
        </w:rPr>
        <w:t>Diplom-Wirtschaftsingenieur</w:t>
      </w:r>
      <w:r>
        <w:rPr>
          <w:rFonts w:ascii="Times New Roman" w:cs="Times New Roman" w:eastAsia="Times New Roman" w:hAnsi="Times New Roman"/>
          <w:sz w:val="17"/>
          <w:szCs w:val="17"/>
          <w:color w:val="auto"/>
        </w:rPr>
        <w:t>) from the University of Karlsruhe and an MBA in change management, marketing and strategic planning from the University of Southern California - Marshall School of Business.</w:t>
      </w:r>
    </w:p>
    <w:p>
      <w:pPr>
        <w:spacing w:after="0" w:line="16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Markus Volmer </w:t>
      </w:r>
      <w:r>
        <w:rPr>
          <w:rFonts w:ascii="Times New Roman" w:cs="Times New Roman" w:eastAsia="Times New Roman" w:hAnsi="Times New Roman"/>
          <w:sz w:val="18"/>
          <w:szCs w:val="18"/>
          <w:color w:val="auto"/>
        </w:rPr>
        <w:t>has more than 19 years of experience as a senior development engineer in the automotive industry. He began his career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an international management associate at Daimler AG (formerly DaimlerChrysler AG) in 2003. Between 2004 and 2014, Markus held various positions in development and testing at Daimler AG, before joining Foton Motor Group as chief engineer vehicle testing in 2014. In 2016, he was appointed senior chief engineer research &amp; development and testing at Borgward Group AG, a position he remained in before joining Sono Motors as Chief Technology Officer in 2021. Markus holds a degree in industrial engineering with a focus on mechanical engineering (</w:t>
      </w:r>
      <w:r>
        <w:rPr>
          <w:rFonts w:ascii="Times New Roman" w:cs="Times New Roman" w:eastAsia="Times New Roman" w:hAnsi="Times New Roman"/>
          <w:sz w:val="18"/>
          <w:szCs w:val="18"/>
          <w:i w:val="1"/>
          <w:iCs w:val="1"/>
          <w:color w:val="auto"/>
        </w:rPr>
        <w:t>Diplom-Wirtschaftsingenieur</w:t>
      </w:r>
      <w:r>
        <w:rPr>
          <w:rFonts w:ascii="Times New Roman" w:cs="Times New Roman" w:eastAsia="Times New Roman" w:hAnsi="Times New Roman"/>
          <w:sz w:val="18"/>
          <w:szCs w:val="18"/>
          <w:color w:val="auto"/>
        </w:rPr>
        <w:t>) from the Technical University Braunschweig and an MBA from the University of Rhode Island - College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w:t>
      </w:r>
    </w:p>
    <w:p>
      <w:pPr>
        <w:spacing w:after="0" w:line="220"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8"/>
          <w:szCs w:val="18"/>
          <w:color w:val="auto"/>
        </w:rPr>
        <w:t>Our supervisory board is composed of four members, provided that our supervisory board may adjust the number of supervisory board members from time to time. However, our supervisory board must, when determining the number of supervisory board members, observe our nomination arrangement pursuant to which each of Laurin Hahn and Jona Christians, acting individually, shall each always be allowed to make a binding nomination for one supervisory board member as long as he holds at least 5% of voting rights. Our supervisory board members do not have a retirement age requirement under our articles of association.</w:t>
      </w:r>
    </w:p>
    <w:p>
      <w:pPr>
        <w:spacing w:after="0" w:line="182"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names of our supervisory board members, their ages and the year of expiration of their term as supervisory board members of Sono Group N.V. as of June 30,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in which</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Expires</w:t>
            </w:r>
          </w:p>
        </w:tc>
        <w:tc>
          <w:tcPr>
            <w:tcW w:w="0" w:type="dxa"/>
            <w:vAlign w:val="bottom"/>
          </w:tcPr>
          <w:p>
            <w:pPr>
              <w:spacing w:after="0"/>
              <w:rPr>
                <w:sz w:val="1"/>
                <w:szCs w:val="1"/>
                <w:color w:val="auto"/>
              </w:rPr>
            </w:pPr>
          </w:p>
        </w:tc>
      </w:tr>
      <w:tr>
        <w:trPr>
          <w:trHeight w:val="206"/>
        </w:trPr>
        <w:tc>
          <w:tcPr>
            <w:tcW w:w="720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Martina Buchhauser</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88"/>
              </w:rPr>
              <w:t>56</w:t>
            </w: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2"/>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Sebastian Böttger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48</w:t>
            </w: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2"/>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Jeffe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32"/>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Johannes Trischler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35</w:t>
            </w:r>
          </w:p>
        </w:tc>
        <w:tc>
          <w:tcPr>
            <w:tcW w:w="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Sebastian Böttger was nominated by Laurin Hahn and Johannes Trischler was nominated by Jona Christians.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Wilko Stark resigned from our supervisory board in January 2022.</w:t>
      </w:r>
    </w:p>
    <w:p>
      <w:pPr>
        <w:spacing w:after="0" w:line="21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color w:val="auto"/>
        </w:rPr>
        <w:t>The following is a brief summary of the prior business experience and principal business activities performed outside of the position on the supervisory board of Sono Motors. Unless otherwise indicated, the current business address for each of our supervisory board members is Waldmeisterstraße 76, 80935 Munich, Germany.</w:t>
      </w:r>
    </w:p>
    <w:p>
      <w:pPr>
        <w:spacing w:after="0" w:line="17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Martina Buchhauser </w:t>
      </w:r>
      <w:r>
        <w:rPr>
          <w:rFonts w:ascii="Times New Roman" w:cs="Times New Roman" w:eastAsia="Times New Roman" w:hAnsi="Times New Roman"/>
          <w:sz w:val="18"/>
          <w:szCs w:val="18"/>
          <w:color w:val="auto"/>
        </w:rPr>
        <w:t>became a member of our supervisory board immediately prior to pricing of the IPO on November 16,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Martina has more than 35 years of extensive experience in the automotive industry as well as a proven track record in global sourcing, supplier management and close collaboration with engineering and manufacturing organizations. Since August 2021, she has served as senior advisor to H&amp;Z Management Consulting AG. Until January 2021, she was at Volvo Car Corporation where she served as senior vice president of global procurement and member of the management board. Prior to that, she was senior vice president of purchasing and supplier network, interior and electric/electronics at BMW Group from 2012 to 2017. Until 2021, she served as director of the advisory board of GV Automobile Technology (Ningbo) Co. Ltd., the joint venture of Geely and Volvo. In 2007, she joined MAN Truck and Bus (today part of Volkswagen), MAN SE as vice president corporate purchasing until 2012. Martina began her career in 1985 at General Motors Corporation, USA, and Adam Opel AG, Germany, where she later served as global executive director worldwide purchasing until 2006. Martina holds a master of science in management (M.Sc.) from Stanford University and a bachelor of science in business management (B.Sc.) from Lawrence Technological University.</w:t>
      </w:r>
    </w:p>
    <w:p>
      <w:pPr>
        <w:spacing w:after="0" w:line="185"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Sebastian Böttger </w:t>
      </w:r>
      <w:r>
        <w:rPr>
          <w:rFonts w:ascii="Times New Roman" w:cs="Times New Roman" w:eastAsia="Times New Roman" w:hAnsi="Times New Roman"/>
          <w:sz w:val="18"/>
          <w:szCs w:val="18"/>
          <w:color w:val="auto"/>
        </w:rPr>
        <w:t>became a member of our supervisory board immediately prior to pricing of the IPO on November 16,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Sebastian is an entrepreneur, who founded his first company during his first semester at university. Sebastian is chief executive officer of NeLeSo GmbH, a software and consulting company that develops innovative solutions in the area of electric mobility with a focus on digital services, which he founded in 2010. From 2004 to 2018, he was founder and chief executive officer of Melin GmbH, a company providing an email marketing server for high volume emailing, which merged with Neleso GmbH in 2018. From 1995 to 2004, he was founder and chief executive officer of Imperia GmbH, a content management system for complex websites for media/publishers and public authorities. Imperia GmbH was sold to a stock exchange listed company in 2004 (now Pirobase Imperia GmbH). Sebastian studied electrical engineering and holds a degree from RWTH Aachen (</w:t>
      </w:r>
      <w:r>
        <w:rPr>
          <w:rFonts w:ascii="Times New Roman" w:cs="Times New Roman" w:eastAsia="Times New Roman" w:hAnsi="Times New Roman"/>
          <w:sz w:val="18"/>
          <w:szCs w:val="18"/>
          <w:i w:val="1"/>
          <w:iCs w:val="1"/>
          <w:color w:val="auto"/>
        </w:rPr>
        <w:t>Dipl.Ing. Elektrotechnik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A. Jeffe </w:t>
      </w:r>
      <w:r>
        <w:rPr>
          <w:rFonts w:ascii="Times New Roman" w:cs="Times New Roman" w:eastAsia="Times New Roman" w:hAnsi="Times New Roman"/>
          <w:sz w:val="18"/>
          <w:szCs w:val="18"/>
          <w:color w:val="auto"/>
        </w:rPr>
        <w:t>became a member of our supervisory board immediately prior to pricing of the IPO on November 16, 2021. Robert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34 years of extensive investment banking and corporate finance experience and has served in leadership roles and held board positions at several large financial institutions and energy companies. Since 2011, Robert serves as director at Associated Bank Corp. In 2017, Robert joined BlackWatch Advisors LLC, a financial and strategic consulting and advisory services firm focused in the technology and entertainment industries, where he currently works as a senior operating partner. From 2017 to 2021, he served as chairman of OAG Analytics, Inc. From 2012 to 2017, he served as co-chairman and co-founder of Hawkwood Energy, a private oil and gas company, focused on onshore exploration and production in the U.S. From 2004 to 2011, he was chairman of the corporate advisory group of Deutsche Bank. From 2001 to 2004, he served as senior vice president of corporate business development for General Electric Company, and as a member of GE Capital’s board of directors from 2002 to 2004. Prior to that, he was with Morgan Stanley, Credit Suisse and Smith Barney (now Citigroup) serving at all three firms as managing director, head of the global energy and natural resources group, and a member of the investment banking management committee and global leadership group. At Morgan Stanley, Robert also was co-head of global corporate finance. Robert holds a master of business administration from Stanford University and an undergraduate degree in economics from Dartmouth College.</w:t>
      </w:r>
    </w:p>
    <w:p>
      <w:pPr>
        <w:spacing w:after="0" w:line="191"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Johannes Trischler </w:t>
      </w:r>
      <w:r>
        <w:rPr>
          <w:rFonts w:ascii="Times New Roman" w:cs="Times New Roman" w:eastAsia="Times New Roman" w:hAnsi="Times New Roman"/>
          <w:sz w:val="18"/>
          <w:szCs w:val="18"/>
          <w:color w:val="auto"/>
        </w:rPr>
        <w:t>became a member of our supervisory board immediately prior to pricing of the IPO on November 16,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Besides various political engagements, Johannes began his legal career in 2017 as head of the legal department at the large district town Freising (Große Kreisstadt Freising), where he was a member of the mayor’s staff and advised on legal and policy issues until 2018. In 2018, he joined Sono Motors GmbH as senior legal counsel and head of the legal department; he holds the title of General Counsel since March 2021. Johannes was born in Munich, Germany, in 1987. He holds a law degree from the Ludwig-Maximilians-University, Munich. He graduated with his first state examination in law in 2013 and completed his legal clerkship at the Higher Regional Court of Munich in 2016. He graduated with his second state examination in 2016.</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222"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Pursuant to its internal rules of procedure, the supervisory board has established an audit committee, a compensation committee and a nomination committee: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committee</w:t>
            </w:r>
          </w:p>
        </w:tc>
        <w:tc>
          <w:tcPr>
            <w:tcW w:w="240" w:type="dxa"/>
            <w:vAlign w:val="bottom"/>
            <w:tcBorders>
              <w:bottom w:val="single" w:sz="8" w:color="CCEEFF"/>
            </w:tcBorders>
          </w:tcPr>
          <w:p>
            <w:pPr>
              <w:spacing w:after="0"/>
              <w:rPr>
                <w:sz w:val="16"/>
                <w:szCs w:val="16"/>
                <w:color w:val="auto"/>
              </w:rPr>
            </w:pPr>
          </w:p>
        </w:tc>
        <w:tc>
          <w:tcPr>
            <w:tcW w:w="48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Current Members</w:t>
            </w:r>
          </w:p>
        </w:tc>
      </w:tr>
      <w:tr>
        <w:trPr>
          <w:trHeight w:val="206"/>
        </w:trPr>
        <w:tc>
          <w:tcPr>
            <w:tcW w:w="48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Audit committee</w:t>
            </w:r>
          </w:p>
        </w:tc>
        <w:tc>
          <w:tcPr>
            <w:tcW w:w="24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Robert A. Jeffe (chairperson), Sebastian Böttger and Martina</w:t>
            </w:r>
          </w:p>
        </w:tc>
      </w:tr>
      <w:tr>
        <w:trPr>
          <w:trHeight w:val="244"/>
        </w:trPr>
        <w:tc>
          <w:tcPr>
            <w:tcW w:w="4860" w:type="dxa"/>
            <w:vAlign w:val="bottom"/>
            <w:shd w:val="clear" w:color="auto" w:fill="CCEEFF"/>
          </w:tcPr>
          <w:p>
            <w:pPr>
              <w:spacing w:after="0"/>
              <w:rPr>
                <w:sz w:val="21"/>
                <w:szCs w:val="21"/>
                <w:color w:val="auto"/>
              </w:rPr>
            </w:pPr>
          </w:p>
        </w:tc>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Buchhauser</w:t>
            </w:r>
          </w:p>
        </w:tc>
      </w:tr>
      <w:tr>
        <w:trPr>
          <w:trHeight w:val="22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Sebastian Böttger (chairperson) and Robert A. Jeffe</w:t>
            </w:r>
          </w:p>
        </w:tc>
      </w:tr>
      <w:tr>
        <w:trPr>
          <w:trHeight w:val="22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Nomination committee</w:t>
            </w:r>
          </w:p>
        </w:tc>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Martina Buchhauser (chairperson) and Johannes Trischler</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2"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The audit committee, which consists of Robert A. Jeffe, Sebastian Böttger and Martina Buchhauser, assists the supervisory board in overseeing our accounting and financial reporting processes and the audits of our consolidated financial statements. Robert A. Jeffe serves as chairperson of the committee. In addition, the audit committee is responsible for the appointment, compensation, retention and oversight of the work of our independent registered public accounting firm. Our supervisory board has determined that all audit committee members satisfy the “independence” requirements set forth in Rule 10A-3 under the Exchange Act and that Robert A. Jeffe qualifies as an “audit committee financial expert,” as such term is defined in the rules of the SEC. The composition of our audit committee is consistent with the best practice provisions of the DCGC. The audit committee is governed by a charter, which is posted and accessible on our investor relations website.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2"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The compensation committee consists of Sebastian Böttger and Robert A. Jeffe. The compensation committee assists the supervisory board in determining compensation for our executive officers and our management board members and supervisory board members. Sebastian Böttger serves as chairperson of the committee. The composition of our compensation committee is consistent with the best practice provisions of the DCGC.</w:t>
      </w:r>
    </w:p>
    <w:p>
      <w:pPr>
        <w:spacing w:after="0" w:line="18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Under SEC and Nasdaq rules, there are heightened independence standards for members of the compensation committee, including a prohibition against the receipt of any compensation from us other than standard director fees. The compensation committee consists entirely of independent supervisory board members. The compensation committee is governed by a charter, which is posted and accessible on our investor relations website.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and Corporate Governance Committee</w:t>
      </w:r>
    </w:p>
    <w:p>
      <w:pPr>
        <w:spacing w:after="0" w:line="222"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The nomination and corporate governance committee consists of Martina Buchhauser and Johannes Trischler. The nomination and corporate governance committee assists our supervisory board in identifying individuals qualified to become our management board members or supervisory board members consistent with criteria established by us, including in our code of business conduct and ethics. Martina Buchhauser will serve as chairperson of the committee. The nominating and corporate committee is governed by a charter, which is posted and accessible on our investor relations website.</w:t>
      </w:r>
    </w:p>
    <w:p>
      <w:pPr>
        <w:spacing w:after="0" w:line="182" w:lineRule="exact"/>
        <w:rPr>
          <w:sz w:val="20"/>
          <w:szCs w:val="20"/>
          <w:color w:val="auto"/>
        </w:rPr>
      </w:pPr>
    </w:p>
    <w:p>
      <w:pPr>
        <w:ind w:right="20" w:firstLine="353"/>
        <w:spacing w:after="0" w:line="260" w:lineRule="auto"/>
        <w:rPr>
          <w:sz w:val="20"/>
          <w:szCs w:val="20"/>
          <w:color w:val="auto"/>
        </w:rPr>
      </w:pPr>
      <w:r>
        <w:rPr>
          <w:rFonts w:ascii="Times New Roman" w:cs="Times New Roman" w:eastAsia="Times New Roman" w:hAnsi="Times New Roman"/>
          <w:sz w:val="18"/>
          <w:szCs w:val="18"/>
          <w:color w:val="auto"/>
        </w:rPr>
        <w:t>As permitted by the listing requirements of Nasdaq, we opted out of Nasdaq Listing Rule 5605(e), which requires independent director oversight of director nominations. The nominating and corporate governance committee is governed by a charter that is posted on our website.</w:t>
      </w:r>
    </w:p>
    <w:p>
      <w:pPr>
        <w:spacing w:after="0" w:line="174" w:lineRule="exact"/>
        <w:rPr>
          <w:sz w:val="20"/>
          <w:szCs w:val="20"/>
          <w:color w:val="auto"/>
        </w:rPr>
      </w:pPr>
    </w:p>
    <w:p>
      <w:pPr>
        <w:ind w:right="800"/>
        <w:spacing w:after="0" w:line="276" w:lineRule="auto"/>
        <w:rPr>
          <w:sz w:val="20"/>
          <w:szCs w:val="20"/>
          <w:color w:val="auto"/>
        </w:rPr>
      </w:pPr>
      <w:r>
        <w:rPr>
          <w:rFonts w:ascii="Times New Roman" w:cs="Times New Roman" w:eastAsia="Times New Roman" w:hAnsi="Times New Roman"/>
          <w:sz w:val="18"/>
          <w:szCs w:val="18"/>
          <w:b w:val="1"/>
          <w:bCs w:val="1"/>
          <w:color w:val="auto"/>
        </w:rPr>
        <w:t>Remuneration and Other Benefits to Supervisory Board Members and Management Board Members for the Year Ended December 31, 2021</w:t>
      </w:r>
    </w:p>
    <w:p>
      <w:pPr>
        <w:spacing w:after="0" w:line="16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As a foreign private issuer, we will comply with home country compensation requirements and certain exemptions thereunder. Dutch law does not provide for limitations with respect to the aggregate annual compensation paid to our management board members or supervisory board members, provided that such compensation is consistent with our compensation policy. Our compensation policy has been adopted by our general meeting. Changes to our compensation policy shall require a vote of our general meeting by simple majority of votes cast. The supervisory board determines the remuneration of individual management board members with due observance of the compensation policy. A proposal with respect to remuneration schemes in the form of shares or rights to shares in which management board members may participate is subject to approval by our general meeting by simple majority of votes cast.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right="400"/>
        <w:spacing w:after="0" w:line="260" w:lineRule="auto"/>
        <w:rPr>
          <w:sz w:val="20"/>
          <w:szCs w:val="20"/>
          <w:color w:val="auto"/>
        </w:rPr>
      </w:pPr>
      <w:r>
        <w:rPr>
          <w:rFonts w:ascii="Times New Roman" w:cs="Times New Roman" w:eastAsia="Times New Roman" w:hAnsi="Times New Roman"/>
          <w:sz w:val="18"/>
          <w:szCs w:val="18"/>
          <w:color w:val="auto"/>
        </w:rPr>
        <w:t>Such a proposal must set out at least the maximum number of shares or rights to subscribe for shares to be granted to the management board members and the criteria for granting or amendment. The compensation for our supervisory board members is set by the general meeting.</w:t>
      </w:r>
    </w:p>
    <w:p>
      <w:pPr>
        <w:spacing w:after="0" w:line="176"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7"/>
          <w:szCs w:val="17"/>
          <w:color w:val="auto"/>
        </w:rPr>
        <w:t>Our compensation policy authorizes our supervisory board to determine the amount, level and structure of the compensation packages of our management board members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supervisory board. We do not separately set aside amounts from pensions, retirement or other benefits for members of our management board, other than pursuant to relevant statutory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of Management Board Members</w:t>
      </w:r>
    </w:p>
    <w:p>
      <w:pPr>
        <w:spacing w:after="0" w:line="220"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2021, the aggregate compensation accrued or paid to our management board members for services in all capacities was €1,317,070.06. The following table sets forth the aggregate compensation and benefits provided to our management board members in the year ended December 31,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 Compensation</w:t>
            </w:r>
            <w:r>
              <w:rPr>
                <w:rFonts w:ascii="Times New Roman" w:cs="Times New Roman" w:eastAsia="Times New Roman" w:hAnsi="Times New Roman"/>
                <w:sz w:val="21"/>
                <w:szCs w:val="21"/>
                <w:b w:val="1"/>
                <w:bCs w:val="1"/>
                <w:color w:val="auto"/>
                <w:vertAlign w:val="superscript"/>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Compensation</w:t>
            </w:r>
          </w:p>
        </w:tc>
      </w:tr>
      <w:tr>
        <w:trPr>
          <w:trHeight w:val="139"/>
        </w:trPr>
        <w:tc>
          <w:tcPr>
            <w:tcW w:w="25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Borders>
              <w:top w:val="single" w:sz="8" w:color="auto"/>
            </w:tcBorders>
          </w:tcPr>
          <w:p>
            <w:pPr>
              <w:jc w:val="right"/>
              <w:ind w:right="1317"/>
              <w:spacing w:after="0" w:line="139" w:lineRule="exact"/>
              <w:rPr>
                <w:sz w:val="20"/>
                <w:szCs w:val="20"/>
                <w:color w:val="auto"/>
              </w:rPr>
            </w:pPr>
            <w:r>
              <w:rPr>
                <w:rFonts w:ascii="Times New Roman" w:cs="Times New Roman" w:eastAsia="Times New Roman" w:hAnsi="Times New Roman"/>
                <w:sz w:val="14"/>
                <w:szCs w:val="14"/>
                <w:b w:val="1"/>
                <w:bCs w:val="1"/>
                <w:color w:val="auto"/>
              </w:rPr>
              <w:t>(in €)</w:t>
            </w:r>
          </w:p>
        </w:tc>
        <w:tc>
          <w:tcPr>
            <w:tcW w:w="1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12"/>
        </w:trPr>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Laurin Hahn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49,750.04</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254,000.00</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4,102.80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307,852.84</w:t>
            </w:r>
          </w:p>
        </w:tc>
      </w:tr>
      <w:tr>
        <w:trPr>
          <w:trHeight w:val="212"/>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 Christians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49,750.04</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254,000.00</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1,765.80</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305,515.84</w:t>
            </w:r>
          </w:p>
        </w:tc>
      </w:tr>
      <w:tr>
        <w:trPr>
          <w:trHeight w:val="212"/>
        </w:trPr>
        <w:tc>
          <w:tcPr>
            <w:tcW w:w="3880" w:type="dxa"/>
            <w:vAlign w:val="bottom"/>
            <w:gridSpan w:val="3"/>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Torsten Kiedel</w:t>
            </w:r>
            <w:r>
              <w:rPr>
                <w:rFonts w:ascii="Times New Roman" w:cs="Times New Roman" w:eastAsia="Times New Roman" w:hAnsi="Times New Roman"/>
                <w:sz w:val="24"/>
                <w:szCs w:val="24"/>
                <w:color w:val="auto"/>
                <w:vertAlign w:val="superscript"/>
              </w:rPr>
              <w:t>(2)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204,999.96</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22,555.56</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9,369.48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236,925.00</w:t>
            </w:r>
          </w:p>
        </w:tc>
      </w:tr>
      <w:tr>
        <w:trPr>
          <w:trHeight w:val="212"/>
        </w:trPr>
        <w:tc>
          <w:tcPr>
            <w:tcW w:w="3880" w:type="dxa"/>
            <w:vAlign w:val="bottom"/>
            <w:gridSpan w:val="3"/>
          </w:tcPr>
          <w:p>
            <w:pPr>
              <w:spacing w:after="0" w:line="212" w:lineRule="exact"/>
              <w:rPr>
                <w:sz w:val="20"/>
                <w:szCs w:val="20"/>
                <w:color w:val="auto"/>
              </w:rPr>
            </w:pPr>
            <w:r>
              <w:rPr>
                <w:rFonts w:ascii="Times New Roman" w:cs="Times New Roman" w:eastAsia="Times New Roman" w:hAnsi="Times New Roman"/>
                <w:sz w:val="17"/>
                <w:szCs w:val="17"/>
                <w:color w:val="auto"/>
              </w:rPr>
              <w:t>Thomas Hausch</w:t>
            </w:r>
            <w:r>
              <w:rPr>
                <w:rFonts w:ascii="Times New Roman" w:cs="Times New Roman" w:eastAsia="Times New Roman" w:hAnsi="Times New Roman"/>
                <w:sz w:val="24"/>
                <w:szCs w:val="24"/>
                <w:color w:val="auto"/>
                <w:vertAlign w:val="superscript"/>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249,996.00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11,113.77</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265,109.77</w:t>
            </w:r>
          </w:p>
        </w:tc>
      </w:tr>
      <w:tr>
        <w:trPr>
          <w:trHeight w:val="212"/>
        </w:trPr>
        <w:tc>
          <w:tcPr>
            <w:tcW w:w="3880" w:type="dxa"/>
            <w:vAlign w:val="bottom"/>
            <w:gridSpan w:val="3"/>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Markus Volmer</w:t>
            </w:r>
            <w:r>
              <w:rPr>
                <w:rFonts w:ascii="Times New Roman" w:cs="Times New Roman" w:eastAsia="Times New Roman" w:hAnsi="Times New Roman"/>
                <w:sz w:val="24"/>
                <w:szCs w:val="24"/>
                <w:color w:val="auto"/>
                <w:vertAlign w:val="superscript"/>
              </w:rPr>
              <w:t>(4)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191,666.61</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201,666.61</w:t>
            </w:r>
          </w:p>
        </w:tc>
      </w:tr>
      <w:tr>
        <w:trPr>
          <w:trHeight w:val="106"/>
        </w:trPr>
        <w:tc>
          <w:tcPr>
            <w:tcW w:w="250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r>
    </w:tbl>
    <w:p>
      <w:pPr>
        <w:spacing w:after="0" w:line="74" w:lineRule="exact"/>
        <w:rPr>
          <w:sz w:val="20"/>
          <w:szCs w:val="20"/>
          <w:color w:val="auto"/>
        </w:rPr>
      </w:pPr>
    </w:p>
    <w:p>
      <w:pPr>
        <w:ind w:left="320" w:hanging="313"/>
        <w:spacing w:after="0"/>
        <w:tabs>
          <w:tab w:leader="none" w:pos="32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other compensation includes other monetary benefits and contributions to social security insurance, if any.</w:t>
      </w:r>
    </w:p>
    <w:p>
      <w:pPr>
        <w:spacing w:after="0" w:line="217" w:lineRule="exact"/>
        <w:rPr>
          <w:rFonts w:ascii="Times New Roman" w:cs="Times New Roman" w:eastAsia="Times New Roman" w:hAnsi="Times New Roman"/>
          <w:sz w:val="18"/>
          <w:szCs w:val="18"/>
          <w:color w:val="231F20"/>
        </w:rPr>
      </w:pPr>
    </w:p>
    <w:p>
      <w:pPr>
        <w:ind w:left="320" w:right="380" w:hanging="313"/>
        <w:spacing w:after="0" w:line="274" w:lineRule="auto"/>
        <w:tabs>
          <w:tab w:leader="none" w:pos="32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Torsten Kiedel joined Sono Motors on February 1, 2020 and became a member of our management board immediately prior to the pricing of the IPO on November 16, 2021.</w:t>
      </w:r>
    </w:p>
    <w:p>
      <w:pPr>
        <w:spacing w:after="0" w:line="164" w:lineRule="exact"/>
        <w:rPr>
          <w:rFonts w:ascii="Times New Roman" w:cs="Times New Roman" w:eastAsia="Times New Roman" w:hAnsi="Times New Roman"/>
          <w:sz w:val="18"/>
          <w:szCs w:val="18"/>
          <w:color w:val="231F20"/>
        </w:rPr>
      </w:pPr>
    </w:p>
    <w:p>
      <w:pPr>
        <w:ind w:left="320" w:right="500" w:hanging="313"/>
        <w:spacing w:after="0" w:line="274" w:lineRule="auto"/>
        <w:tabs>
          <w:tab w:leader="none" w:pos="32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Thomas Hausch joined Sono Motors on June 13, 2018 and became a member of our management board immediately prior to the pricing of the IPO on November 16, 2021.</w:t>
      </w:r>
    </w:p>
    <w:p>
      <w:pPr>
        <w:spacing w:after="0" w:line="164" w:lineRule="exact"/>
        <w:rPr>
          <w:rFonts w:ascii="Times New Roman" w:cs="Times New Roman" w:eastAsia="Times New Roman" w:hAnsi="Times New Roman"/>
          <w:sz w:val="18"/>
          <w:szCs w:val="18"/>
          <w:color w:val="231F20"/>
        </w:rPr>
      </w:pPr>
    </w:p>
    <w:p>
      <w:pPr>
        <w:ind w:left="320" w:right="320" w:hanging="313"/>
        <w:spacing w:after="0" w:line="274" w:lineRule="auto"/>
        <w:tabs>
          <w:tab w:leader="none" w:pos="32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Markus Volmer joined Sono Motors on February 1, 2021 and became a member of our management board immediately prior to the pricing of the IPO on November 16,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Ownership of Management Board Members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share ownership of our management board members as of August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200" w:type="dxa"/>
            <w:vAlign w:val="bottom"/>
            <w:gridSpan w:val="2"/>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Voting Rights</w:t>
            </w:r>
          </w:p>
        </w:tc>
        <w:tc>
          <w:tcPr>
            <w:tcW w:w="0" w:type="dxa"/>
            <w:vAlign w:val="bottom"/>
          </w:tcPr>
          <w:p>
            <w:pPr>
              <w:spacing w:after="0"/>
              <w:rPr>
                <w:sz w:val="1"/>
                <w:szCs w:val="1"/>
                <w:color w:val="auto"/>
              </w:rPr>
            </w:pPr>
          </w:p>
        </w:tc>
      </w:tr>
      <w:tr>
        <w:trPr>
          <w:trHeight w:val="171"/>
        </w:trPr>
        <w:tc>
          <w:tcPr>
            <w:tcW w:w="6060" w:type="dxa"/>
            <w:vAlign w:val="bottom"/>
            <w:gridSpan w:val="3"/>
            <w:vMerge w:val="continue"/>
          </w:tcPr>
          <w:p>
            <w:pPr>
              <w:spacing w:after="0"/>
              <w:rPr>
                <w:sz w:val="14"/>
                <w:szCs w:val="14"/>
                <w:color w:val="auto"/>
              </w:rPr>
            </w:pP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Shares Outstanding</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920" w:type="dxa"/>
            <w:vAlign w:val="bottom"/>
            <w:tcBorders>
              <w:top w:val="single" w:sz="8" w:color="auto"/>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Laurin Hahn</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21,375,000</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c>
          <w:tcPr>
            <w:tcW w:w="12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29.05</w:t>
            </w:r>
          </w:p>
        </w:tc>
        <w:tc>
          <w:tcPr>
            <w:tcW w:w="240" w:type="dxa"/>
            <w:vAlign w:val="bottom"/>
            <w:tcBorders>
              <w:top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40.71</w:t>
            </w:r>
          </w:p>
        </w:tc>
        <w:tc>
          <w:tcPr>
            <w:tcW w:w="160" w:type="dxa"/>
            <w:vAlign w:val="bottom"/>
            <w:tcBorders>
              <w:top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2"/>
        </w:trPr>
        <w:tc>
          <w:tcPr>
            <w:tcW w:w="6060" w:type="dxa"/>
            <w:vAlign w:val="bottom"/>
            <w:gridSpan w:val="3"/>
          </w:tcPr>
          <w:p>
            <w:pPr>
              <w:spacing w:after="0" w:line="212" w:lineRule="exact"/>
              <w:rPr>
                <w:sz w:val="20"/>
                <w:szCs w:val="20"/>
                <w:color w:val="auto"/>
              </w:rPr>
            </w:pPr>
            <w:r>
              <w:rPr>
                <w:rFonts w:ascii="Times New Roman" w:cs="Times New Roman" w:eastAsia="Times New Roman" w:hAnsi="Times New Roman"/>
                <w:sz w:val="17"/>
                <w:szCs w:val="17"/>
                <w:color w:val="auto"/>
              </w:rPr>
              <w:t>Jona Christians</w:t>
            </w:r>
            <w:r>
              <w:rPr>
                <w:rFonts w:ascii="Times New Roman" w:cs="Times New Roman" w:eastAsia="Times New Roman" w:hAnsi="Times New Roman"/>
                <w:sz w:val="24"/>
                <w:szCs w:val="24"/>
                <w:color w:val="auto"/>
                <w:vertAlign w:val="superscript"/>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26.15 %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36.64 %</w:t>
            </w:r>
          </w:p>
        </w:tc>
        <w:tc>
          <w:tcPr>
            <w:tcW w:w="0" w:type="dxa"/>
            <w:vAlign w:val="bottom"/>
          </w:tcPr>
          <w:p>
            <w:pPr>
              <w:spacing w:after="0"/>
              <w:rPr>
                <w:sz w:val="1"/>
                <w:szCs w:val="1"/>
                <w:color w:val="auto"/>
              </w:rPr>
            </w:pPr>
          </w:p>
        </w:tc>
      </w:tr>
      <w:tr>
        <w:trPr>
          <w:trHeight w:val="212"/>
        </w:trPr>
        <w:tc>
          <w:tcPr>
            <w:tcW w:w="6060" w:type="dxa"/>
            <w:vAlign w:val="bottom"/>
            <w:gridSpan w:val="3"/>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Torsten Kiedel</w:t>
            </w:r>
            <w:r>
              <w:rPr>
                <w:rFonts w:ascii="Times New Roman" w:cs="Times New Roman" w:eastAsia="Times New Roman" w:hAnsi="Times New Roman"/>
                <w:sz w:val="24"/>
                <w:szCs w:val="24"/>
                <w:color w:val="auto"/>
                <w:vertAlign w:val="superscript"/>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060" w:type="dxa"/>
            <w:vAlign w:val="bottom"/>
            <w:gridSpan w:val="3"/>
          </w:tcPr>
          <w:p>
            <w:pPr>
              <w:spacing w:after="0" w:line="212" w:lineRule="exact"/>
              <w:rPr>
                <w:sz w:val="20"/>
                <w:szCs w:val="20"/>
                <w:color w:val="auto"/>
              </w:rPr>
            </w:pPr>
            <w:r>
              <w:rPr>
                <w:rFonts w:ascii="Times New Roman" w:cs="Times New Roman" w:eastAsia="Times New Roman" w:hAnsi="Times New Roman"/>
                <w:sz w:val="17"/>
                <w:szCs w:val="17"/>
                <w:color w:val="auto"/>
              </w:rPr>
              <w:t>Thomas Hausch</w:t>
            </w:r>
            <w:r>
              <w:rPr>
                <w:rFonts w:ascii="Times New Roman" w:cs="Times New Roman" w:eastAsia="Times New Roman" w:hAnsi="Times New Roman"/>
                <w:sz w:val="24"/>
                <w:szCs w:val="24"/>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060" w:type="dxa"/>
            <w:vAlign w:val="bottom"/>
            <w:gridSpan w:val="3"/>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Markus Volmer</w:t>
            </w:r>
            <w:r>
              <w:rPr>
                <w:rFonts w:ascii="Times New Roman" w:cs="Times New Roman" w:eastAsia="Times New Roman" w:hAnsi="Times New Roman"/>
                <w:sz w:val="24"/>
                <w:szCs w:val="24"/>
                <w:color w:val="auto"/>
                <w:vertAlign w:val="superscript"/>
              </w:rPr>
              <w:t>(5)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6"/>
        </w:trPr>
        <w:tc>
          <w:tcPr>
            <w:tcW w:w="250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3"/>
        <w:spacing w:after="0"/>
        <w:tabs>
          <w:tab w:leader="none" w:pos="32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which 1,578,947 shares are high voting shares, which correspond to 27.12% of the voting rights.</w:t>
      </w:r>
    </w:p>
    <w:p>
      <w:pPr>
        <w:spacing w:after="0" w:line="217" w:lineRule="exact"/>
        <w:rPr>
          <w:rFonts w:ascii="Times New Roman" w:cs="Times New Roman" w:eastAsia="Times New Roman" w:hAnsi="Times New Roman"/>
          <w:sz w:val="18"/>
          <w:szCs w:val="18"/>
          <w:color w:val="231F20"/>
        </w:rPr>
      </w:pPr>
    </w:p>
    <w:p>
      <w:pPr>
        <w:ind w:left="320" w:hanging="313"/>
        <w:spacing w:after="0"/>
        <w:tabs>
          <w:tab w:leader="none" w:pos="32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which 1,421,053 shares are high voting shares, which correspond to 24.40% of the voting rights.</w:t>
      </w:r>
    </w:p>
    <w:p>
      <w:pPr>
        <w:spacing w:after="0" w:line="217" w:lineRule="exact"/>
        <w:rPr>
          <w:rFonts w:ascii="Times New Roman" w:cs="Times New Roman" w:eastAsia="Times New Roman" w:hAnsi="Times New Roman"/>
          <w:sz w:val="18"/>
          <w:szCs w:val="18"/>
          <w:color w:val="231F20"/>
        </w:rPr>
      </w:pPr>
    </w:p>
    <w:p>
      <w:pPr>
        <w:ind w:left="320" w:right="380" w:hanging="313"/>
        <w:spacing w:after="0" w:line="274" w:lineRule="auto"/>
        <w:tabs>
          <w:tab w:leader="none" w:pos="32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Torsten Kiedel joined Sono Motors on February 1, 2020 and became a member of our management board immediately prior to the pricing of the IPO on November 16, 2021.</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right="500" w:hanging="313"/>
        <w:spacing w:after="0" w:line="274" w:lineRule="auto"/>
        <w:tabs>
          <w:tab w:leader="none" w:pos="32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Thomas Hausch joined Sono Motors on June 13, 2018 and became a member of our management board immediately prior to the pricing of the IPO on November 16, 2021.</w:t>
      </w:r>
    </w:p>
    <w:p>
      <w:pPr>
        <w:spacing w:after="0" w:line="164" w:lineRule="exact"/>
        <w:rPr>
          <w:rFonts w:ascii="Times New Roman" w:cs="Times New Roman" w:eastAsia="Times New Roman" w:hAnsi="Times New Roman"/>
          <w:sz w:val="18"/>
          <w:szCs w:val="18"/>
          <w:color w:val="231F20"/>
        </w:rPr>
      </w:pPr>
    </w:p>
    <w:p>
      <w:pPr>
        <w:ind w:left="320" w:right="320" w:hanging="313"/>
        <w:spacing w:after="0" w:line="274" w:lineRule="auto"/>
        <w:tabs>
          <w:tab w:leader="none" w:pos="32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Markus Volmer joined Sono Motors on February 1, 2021 and became a member of our management board immediately prior to the pricing of the IPO on November 16,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Ownership of Management Board Members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option ownership of our management board members as of August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Price (in €)</w:t>
            </w:r>
          </w:p>
        </w:tc>
        <w:tc>
          <w:tcPr>
            <w:tcW w:w="0" w:type="dxa"/>
            <w:vAlign w:val="bottom"/>
          </w:tcPr>
          <w:p>
            <w:pPr>
              <w:spacing w:after="0"/>
              <w:rPr>
                <w:sz w:val="1"/>
                <w:szCs w:val="1"/>
                <w:color w:val="auto"/>
              </w:rPr>
            </w:pPr>
          </w:p>
        </w:tc>
      </w:tr>
      <w:tr>
        <w:trPr>
          <w:trHeight w:val="206"/>
        </w:trPr>
        <w:tc>
          <w:tcPr>
            <w:tcW w:w="674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Laurin Hahn</w:t>
            </w: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 Christians</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Torsten Kiedel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95,586</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 each</w:t>
            </w:r>
          </w:p>
        </w:tc>
        <w:tc>
          <w:tcPr>
            <w:tcW w:w="0" w:type="dxa"/>
            <w:vAlign w:val="bottom"/>
          </w:tcPr>
          <w:p>
            <w:pPr>
              <w:spacing w:after="0"/>
              <w:rPr>
                <w:sz w:val="1"/>
                <w:szCs w:val="1"/>
                <w:color w:val="auto"/>
              </w:rPr>
            </w:pPr>
          </w:p>
        </w:tc>
      </w:tr>
      <w:tr>
        <w:trPr>
          <w:trHeight w:val="21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Hausch</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each</w:t>
            </w:r>
          </w:p>
        </w:tc>
        <w:tc>
          <w:tcPr>
            <w:tcW w:w="0" w:type="dxa"/>
            <w:vAlign w:val="bottom"/>
          </w:tcPr>
          <w:p>
            <w:pPr>
              <w:spacing w:after="0"/>
              <w:rPr>
                <w:sz w:val="1"/>
                <w:szCs w:val="1"/>
                <w:color w:val="auto"/>
              </w:rPr>
            </w:pPr>
          </w:p>
        </w:tc>
      </w:tr>
      <w:tr>
        <w:trPr>
          <w:trHeight w:val="212"/>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Markus Volmer</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w:t>
      </w:r>
    </w:p>
    <w:p>
      <w:pPr>
        <w:spacing w:after="0" w:line="220"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We have entered into service contracts with our management board members (“Management Contracts”). The Management Contracts generally provide for a term of four years and a base salary and an annual variable payment expressed as a percentage of annual base salary. The supervisory board is also entitled to grant management board members additional compensation at its discretion.</w:t>
      </w:r>
    </w:p>
    <w:p>
      <w:pPr>
        <w:spacing w:after="0" w:line="176"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8"/>
          <w:szCs w:val="18"/>
          <w:color w:val="auto"/>
        </w:rPr>
        <w:t>The Management Contracts also provide for additional allowances. The management board members are also eligible to participate in a stock option plan, virtual stock plan or equivalent plan that is established in a manner substantially similar to other of the senior executives.</w:t>
      </w:r>
    </w:p>
    <w:p>
      <w:pPr>
        <w:spacing w:after="0" w:line="176"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The Management Contracts provide for the following restrictive covenants: (i) a non-compete during employment and for 18 months and (ii) a perpetual confidentiality covenant. Under the Management Contracts, we are required to pay the management board members compensation for the duration of their post-employment non-compete in monthly installments that are equal to half of the total compensation they received prior to their termination.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Supervisory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of Supervisory Board Members</w:t>
      </w:r>
    </w:p>
    <w:p>
      <w:pPr>
        <w:spacing w:after="0" w:line="220" w:lineRule="exact"/>
        <w:rPr>
          <w:sz w:val="20"/>
          <w:szCs w:val="20"/>
          <w:color w:val="auto"/>
        </w:rPr>
      </w:pPr>
    </w:p>
    <w:p>
      <w:pPr>
        <w:ind w:right="40" w:firstLine="318"/>
        <w:spacing w:after="0" w:line="269" w:lineRule="auto"/>
        <w:rPr>
          <w:sz w:val="20"/>
          <w:szCs w:val="20"/>
          <w:color w:val="auto"/>
        </w:rPr>
      </w:pPr>
      <w:r>
        <w:rPr>
          <w:rFonts w:ascii="Times New Roman" w:cs="Times New Roman" w:eastAsia="Times New Roman" w:hAnsi="Times New Roman"/>
          <w:sz w:val="17"/>
          <w:szCs w:val="17"/>
          <w:color w:val="auto"/>
        </w:rPr>
        <w:t>Our supervisory board was first established in 2021. The annual compensation packages for their services as supervisory board members consist of €50,000 for the chairperson, €40,000 for the vice- chairperson and €25,000 for each regular supervisory board member. In addition, for membership in the audit committee, the chairperson receives an annual compensation of €20,000 and each other member an annual compensation of €10,000. For membership in the compensation committee, the chairperson receives an annual compensation of €12,000 and each other member an annual compensation of €6,000. For membership in the nomination and corporate governance committee, the chairperson receives an annual compensation of €8,000 and each other member an annual compensation of €4,000.</w:t>
      </w:r>
    </w:p>
    <w:p>
      <w:pPr>
        <w:spacing w:after="0" w:line="171" w:lineRule="exact"/>
        <w:rPr>
          <w:sz w:val="20"/>
          <w:szCs w:val="20"/>
          <w:color w:val="auto"/>
        </w:rPr>
      </w:pPr>
    </w:p>
    <w:p>
      <w:pPr>
        <w:jc w:val="both"/>
        <w:ind w:right="120" w:firstLine="318"/>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aggregate compensation and benefits provided to our supervisory board members for their services on the supervisory board in the year ended December 31, 2021 (excluding the restricted stock units (“RSU”) awarded to them, as reflected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4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Compensation</w:t>
            </w:r>
          </w:p>
        </w:tc>
        <w:tc>
          <w:tcPr>
            <w:tcW w:w="0" w:type="dxa"/>
            <w:vAlign w:val="bottom"/>
          </w:tcPr>
          <w:p>
            <w:pPr>
              <w:spacing w:after="0"/>
              <w:rPr>
                <w:sz w:val="1"/>
                <w:szCs w:val="1"/>
                <w:color w:val="auto"/>
              </w:rPr>
            </w:pPr>
          </w:p>
        </w:tc>
      </w:tr>
      <w:tr>
        <w:trPr>
          <w:trHeight w:val="171"/>
        </w:trPr>
        <w:tc>
          <w:tcPr>
            <w:tcW w:w="3140" w:type="dxa"/>
            <w:vAlign w:val="bottom"/>
            <w:tcBorders>
              <w:bottom w:val="single" w:sz="8" w:color="auto"/>
            </w:tcBorders>
            <w:vMerge w:val="continue"/>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and benefits</w:t>
            </w:r>
          </w:p>
        </w:tc>
        <w:tc>
          <w:tcPr>
            <w:tcW w:w="0" w:type="dxa"/>
            <w:vAlign w:val="bottom"/>
          </w:tcPr>
          <w:p>
            <w:pPr>
              <w:spacing w:after="0"/>
              <w:rPr>
                <w:sz w:val="1"/>
                <w:szCs w:val="1"/>
                <w:color w:val="auto"/>
              </w:rPr>
            </w:pPr>
          </w:p>
        </w:tc>
      </w:tr>
      <w:tr>
        <w:trPr>
          <w:trHeight w:val="139"/>
        </w:trPr>
        <w:tc>
          <w:tcPr>
            <w:tcW w:w="3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231F20"/>
              </w:rPr>
              <w:t>(in €)</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Martina Buchhauser</w:t>
            </w:r>
          </w:p>
        </w:tc>
        <w:tc>
          <w:tcPr>
            <w:tcW w:w="6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Sebastian Böttger</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Jeffe</w:t>
            </w:r>
          </w:p>
        </w:tc>
        <w:tc>
          <w:tcPr>
            <w:tcW w:w="6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Johannes Trischler</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0" w:type="dxa"/>
            <w:vAlign w:val="bottom"/>
          </w:tcPr>
          <w:p>
            <w:pPr>
              <w:spacing w:after="0"/>
              <w:rPr>
                <w:sz w:val="1"/>
                <w:szCs w:val="1"/>
                <w:color w:val="auto"/>
              </w:rPr>
            </w:pPr>
          </w:p>
        </w:tc>
      </w:tr>
      <w:tr>
        <w:trPr>
          <w:trHeight w:val="618"/>
        </w:trPr>
        <w:tc>
          <w:tcPr>
            <w:tcW w:w="3140" w:type="dxa"/>
            <w:vAlign w:val="bottom"/>
          </w:tcPr>
          <w:p>
            <w:pPr>
              <w:spacing w:after="0"/>
              <w:rPr>
                <w:sz w:val="24"/>
                <w:szCs w:val="24"/>
                <w:color w:val="auto"/>
              </w:rPr>
            </w:pPr>
          </w:p>
        </w:tc>
        <w:tc>
          <w:tcPr>
            <w:tcW w:w="4620" w:type="dxa"/>
            <w:vAlign w:val="bottom"/>
          </w:tcPr>
          <w:p>
            <w:pPr>
              <w:jc w:val="right"/>
              <w:ind w:right="2572"/>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31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560" w:firstLine="318"/>
        <w:spacing w:after="0" w:line="274" w:lineRule="auto"/>
        <w:rPr>
          <w:sz w:val="20"/>
          <w:szCs w:val="20"/>
          <w:color w:val="auto"/>
        </w:rPr>
      </w:pPr>
      <w:r>
        <w:rPr>
          <w:rFonts w:ascii="Times New Roman" w:cs="Times New Roman" w:eastAsia="Times New Roman" w:hAnsi="Times New Roman"/>
          <w:sz w:val="18"/>
          <w:szCs w:val="18"/>
          <w:color w:val="auto"/>
        </w:rPr>
        <w:t>In 2021, we received services from members of the supervisory board (including services from employee representatives on the supervisory board in their capacity as employees of Sono Motors GmbH) in the amount of €11,305.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Ownership of Supervisory Board Members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For the year ended December 31, 2021, our supervisory board members did not and currently do not own any shares in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Ownership of Supervisory Board Members</w:t>
      </w:r>
    </w:p>
    <w:p>
      <w:pPr>
        <w:spacing w:after="0" w:line="220"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8"/>
          <w:szCs w:val="18"/>
          <w:color w:val="auto"/>
        </w:rPr>
        <w:t>In addition to the aforementioned cash component, each supervisory board member received a one-time award of RSUs (RSUs for ordinary shares in the capital of the Company) under the Company’s long-term incentive plan upon his or her appointment as supervisory board member, starting from the date of the Company’s IPO (November 19, 2021, the grant date), which vests in four equal installments on each relevant anniversary of the grant date, with the fourth installment vesting on the earlier of (a) the fourth anniversary of the grant date or (b) the Company’s annual general meeting of shareholders to be held in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8420" w:type="dxa"/>
            <w:vAlign w:val="bottom"/>
            <w:gridSpan w:val="2"/>
            <w:vMerge w:val="continue"/>
          </w:tcPr>
          <w:p>
            <w:pPr>
              <w:spacing w:after="0"/>
              <w:rPr>
                <w:sz w:val="14"/>
                <w:szCs w:val="14"/>
                <w:color w:val="auto"/>
              </w:rPr>
            </w:pPr>
          </w:p>
        </w:tc>
        <w:tc>
          <w:tcPr>
            <w:tcW w:w="15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206"/>
        </w:trPr>
        <w:tc>
          <w:tcPr>
            <w:tcW w:w="816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Martina Buchhauser</w:t>
            </w:r>
          </w:p>
        </w:tc>
        <w:tc>
          <w:tcPr>
            <w:tcW w:w="2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18,785</w:t>
            </w:r>
          </w:p>
        </w:tc>
        <w:tc>
          <w:tcPr>
            <w:tcW w:w="0" w:type="dxa"/>
            <w:vAlign w:val="bottom"/>
          </w:tcPr>
          <w:p>
            <w:pPr>
              <w:spacing w:after="0"/>
              <w:rPr>
                <w:sz w:val="1"/>
                <w:szCs w:val="1"/>
                <w:color w:val="auto"/>
              </w:rPr>
            </w:pPr>
          </w:p>
        </w:tc>
      </w:tr>
      <w:tr>
        <w:trPr>
          <w:trHeight w:val="21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Sebastian Böttger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0" w:type="dxa"/>
            <w:vAlign w:val="bottom"/>
          </w:tcPr>
          <w:p>
            <w:pPr>
              <w:spacing w:after="0"/>
              <w:rPr>
                <w:sz w:val="1"/>
                <w:szCs w:val="1"/>
                <w:color w:val="auto"/>
              </w:rPr>
            </w:pPr>
          </w:p>
        </w:tc>
      </w:tr>
      <w:tr>
        <w:trPr>
          <w:trHeight w:val="212"/>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Jeffe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0" w:type="dxa"/>
            <w:vAlign w:val="bottom"/>
          </w:tcPr>
          <w:p>
            <w:pPr>
              <w:spacing w:after="0"/>
              <w:rPr>
                <w:sz w:val="1"/>
                <w:szCs w:val="1"/>
                <w:color w:val="auto"/>
              </w:rPr>
            </w:pPr>
          </w:p>
        </w:tc>
      </w:tr>
      <w:tr>
        <w:trPr>
          <w:trHeight w:val="23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Johannes Trischler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Participation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Virtual Share Programs</w:t>
      </w:r>
    </w:p>
    <w:p>
      <w:pPr>
        <w:spacing w:after="0" w:line="222"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We granted virtual shares to all employees under an employee participation program (the “VESP 2017”), which entitled the beneficiaries to monetary benefits in the form of profit participations or a right to participate in Sono Motors GmbH’s exit proceeds in the case of certain predetermined exit events subject to certain conditions. The value of the virtual shares of the employees were derived from a point system based on the relevant employee’s length of employment.</w:t>
      </w:r>
    </w:p>
    <w:p>
      <w:pPr>
        <w:spacing w:after="0" w:line="182" w:lineRule="exact"/>
        <w:rPr>
          <w:sz w:val="20"/>
          <w:szCs w:val="20"/>
          <w:color w:val="auto"/>
        </w:rPr>
      </w:pPr>
    </w:p>
    <w:p>
      <w:pPr>
        <w:ind w:right="160" w:firstLine="318"/>
        <w:spacing w:after="0" w:line="260" w:lineRule="auto"/>
        <w:rPr>
          <w:sz w:val="20"/>
          <w:szCs w:val="20"/>
          <w:color w:val="auto"/>
        </w:rPr>
      </w:pPr>
      <w:r>
        <w:rPr>
          <w:rFonts w:ascii="Times New Roman" w:cs="Times New Roman" w:eastAsia="Times New Roman" w:hAnsi="Times New Roman"/>
          <w:sz w:val="18"/>
          <w:szCs w:val="18"/>
          <w:color w:val="auto"/>
        </w:rPr>
        <w:t>In addition, we granted virtual shares to certain key employees under another employee participation program (the “VESP 2018”), which also entitled such key employees to essentially equivalent monetary benefits, while the value of such key employees’ virtual shares were derived from a percentage defined in the relevant key employee’s employment contract.</w:t>
      </w:r>
    </w:p>
    <w:p>
      <w:pPr>
        <w:spacing w:after="0" w:line="176"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In December 2020, the VESP 2017 and VESP 2018 and any virtual shares, awards or other benefits related thereto were terminated with immediate effect based on the conclusion of individual cancellation agreements with all beneficiaries but 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 (LTIP)</w:t>
      </w:r>
    </w:p>
    <w:p>
      <w:pPr>
        <w:spacing w:after="0" w:line="22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2021, in conjunction with the consummation of our IPO, we established a new long-term incentive plan (the “LTIP”) with the purpose of advancing the interests of our shareholders and other stakeholders by enhancing our ability to attract, retain and motivate individuals who are expected to make important contributions to us. The LTIP governs issuances of equity and equity-based incentive awards from and after the consummation of our IPO. The maximum number of ordinary shares underlying awards granted pursuant to the LTIP (other than replacement awards under the LTIP) shall not exceed 10% of the Company’s issued share capital from time to time.</w:t>
      </w:r>
    </w:p>
    <w:p>
      <w:pPr>
        <w:spacing w:after="0" w:line="187"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The LTIP is, as applicable, administered by (i) the management board, to the extent the administration or operation of the LTIP relates to the grant of awards to a participant who is not a management board member or supervisory board member, as well as any other matter relating to such awards, (ii) the Company’s supervisory board, to the extent the administration or operation of the LTIP relates to the grant of awards to participants who are members of the management board, as well as any other matter relating to such awards, or (iii) the compensation committee established by the supervisory board for all other matters relating to the administration or operation of the LTIP (each of these bodies, where appropriate, the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Awards under the LTIP may be granted to our employees, the members of our management board and supervisory board, consultants or other advisors.</w:t>
      </w:r>
    </w:p>
    <w:p>
      <w:pPr>
        <w:spacing w:after="0" w:line="164" w:lineRule="exact"/>
        <w:rPr>
          <w:sz w:val="20"/>
          <w:szCs w:val="20"/>
          <w:color w:val="auto"/>
        </w:rPr>
      </w:pPr>
    </w:p>
    <w:p>
      <w:pPr>
        <w:ind w:right="400" w:firstLine="318"/>
        <w:spacing w:after="0" w:line="260" w:lineRule="auto"/>
        <w:rPr>
          <w:sz w:val="20"/>
          <w:szCs w:val="20"/>
          <w:color w:val="auto"/>
        </w:rPr>
      </w:pPr>
      <w:r>
        <w:rPr>
          <w:rFonts w:ascii="Times New Roman" w:cs="Times New Roman" w:eastAsia="Times New Roman" w:hAnsi="Times New Roman"/>
          <w:sz w:val="18"/>
          <w:szCs w:val="18"/>
          <w:color w:val="auto"/>
        </w:rPr>
        <w:t>Awards under the LTIP may be granted in the form of stock options, stock appreciation rights, shares of restricted stock, restricted stock units, other share-based awards or a combination of the foregoing. The Committee may condition the right of an individual to exercise his or her awards upon the achievement or satisfaction of performance criteria.</w:t>
      </w:r>
    </w:p>
    <w:p>
      <w:pPr>
        <w:spacing w:after="0" w:line="176"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vesting conditions for awards under the LTIP will be determined by the Committee and will be set forth in the applicable award documentation.</w:t>
      </w:r>
    </w:p>
    <w:p>
      <w:pPr>
        <w:spacing w:after="0" w:line="164" w:lineRule="exact"/>
        <w:rPr>
          <w:sz w:val="20"/>
          <w:szCs w:val="20"/>
          <w:color w:val="auto"/>
        </w:rPr>
      </w:pPr>
    </w:p>
    <w:p>
      <w:pPr>
        <w:jc w:val="both"/>
        <w:ind w:right="140" w:firstLine="318"/>
        <w:spacing w:after="0" w:line="253" w:lineRule="auto"/>
        <w:rPr>
          <w:sz w:val="20"/>
          <w:szCs w:val="20"/>
          <w:color w:val="auto"/>
        </w:rPr>
      </w:pPr>
      <w:r>
        <w:rPr>
          <w:rFonts w:ascii="Times New Roman" w:cs="Times New Roman" w:eastAsia="Times New Roman" w:hAnsi="Times New Roman"/>
          <w:sz w:val="18"/>
          <w:szCs w:val="18"/>
          <w:color w:val="auto"/>
        </w:rPr>
        <w:t>In the event of a good leaver’s (as defined in the LTIP) termination of employment or service, all vested awards must be exercised or settled in accordance with their terms within a period specified by the Committee and all unvested awards shall be canceled automatically without compensation unless otherwise determined by the Committee or set forth in the applicable award documentation. In the event of a bad leaver’s (as defined in the LTIP) termination of employment or service, all vested and unvested awards will be canceled automatically without compensation.</w:t>
      </w:r>
    </w:p>
    <w:p>
      <w:pPr>
        <w:spacing w:after="0" w:line="182" w:lineRule="exact"/>
        <w:rPr>
          <w:sz w:val="20"/>
          <w:szCs w:val="20"/>
          <w:color w:val="auto"/>
        </w:rPr>
      </w:pPr>
    </w:p>
    <w:p>
      <w:pPr>
        <w:jc w:val="both"/>
        <w:ind w:right="200" w:firstLine="318"/>
        <w:spacing w:after="0" w:line="260" w:lineRule="auto"/>
        <w:rPr>
          <w:sz w:val="20"/>
          <w:szCs w:val="20"/>
          <w:color w:val="auto"/>
        </w:rPr>
      </w:pPr>
      <w:r>
        <w:rPr>
          <w:rFonts w:ascii="Times New Roman" w:cs="Times New Roman" w:eastAsia="Times New Roman" w:hAnsi="Times New Roman"/>
          <w:sz w:val="18"/>
          <w:szCs w:val="18"/>
          <w:color w:val="auto"/>
        </w:rPr>
        <w:t>In the event of a change in control of the Company (as defined in the LTIP) outstanding awards that will be substituted or exchanged for equivalent replacement awards, will be canceled. If outstanding rewards are not substituted or exchanged for equivalent replacement awards, the awards shall immediately vest and settle in full, unless otherwise decided by the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Stock Option Program (CSOP)</w:t>
      </w:r>
    </w:p>
    <w:p>
      <w:pPr>
        <w:spacing w:after="0" w:line="222"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In December 2020, against the background of our intention to terminate all relevant benefits under the VESP 2017 and the VESP 2018, we adopted our CSOP under the LTIP in order to grant a total of 1,805,100 of stock options each with an exercise price of €0.06 to the former beneficiaries under the VESP 2017 (except for one such beneficiary) and the VESP 2018 as well as one additional beneficiary based on individual grant agreements.</w:t>
      </w:r>
    </w:p>
    <w:p>
      <w:pPr>
        <w:spacing w:after="0" w:line="182"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Under the CSOP, the Company granted 1,401,240 fully vested stock options, each with an exercise price of €0.06 and which are not subject to any performance criteria, with effect as of the closing date of our IPO on November 19, 2021 to all but one former beneficiaries (who had not accepted our offer to transfer to the CSOP) under the VESP 2017 as well as the one aforementioned additional beneficiary (the “VESP 2017 Tranche”).</w:t>
      </w:r>
    </w:p>
    <w:p>
      <w:pPr>
        <w:spacing w:after="0" w:line="182" w:lineRule="exact"/>
        <w:rPr>
          <w:sz w:val="20"/>
          <w:szCs w:val="20"/>
          <w:color w:val="auto"/>
        </w:rPr>
      </w:pPr>
    </w:p>
    <w:p>
      <w:pPr>
        <w:jc w:val="both"/>
        <w:ind w:right="40" w:firstLine="318"/>
        <w:spacing w:after="0" w:line="255" w:lineRule="auto"/>
        <w:rPr>
          <w:sz w:val="20"/>
          <w:szCs w:val="20"/>
          <w:color w:val="auto"/>
        </w:rPr>
      </w:pPr>
      <w:r>
        <w:rPr>
          <w:rFonts w:ascii="Times New Roman" w:cs="Times New Roman" w:eastAsia="Times New Roman" w:hAnsi="Times New Roman"/>
          <w:sz w:val="18"/>
          <w:szCs w:val="18"/>
          <w:color w:val="auto"/>
        </w:rPr>
        <w:t>The VESP 2017 Tranche stock options may first be exercised one year after the closing of our IPO, which took place on November 19, 2021, and only in certain windows afterwards and expire four years after the closing of our IPO. In addition, we intend to offer 27,100 fully vested stock options to certain former employees based on essentially equivalent terms as the other stock options that were already granted under the VESP 2017 Tranche.</w:t>
      </w:r>
    </w:p>
    <w:p>
      <w:pPr>
        <w:spacing w:after="0" w:line="18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In addition, the Company granted 403,860 stock options (of which on September 30, 2022, 355,566 stock options were fully vested and 48,294 stock options were not fully vested), each with an exercise price of €0.06 and which are not subject to any performance criteria, with effect as of the closing date of our IPO, which took place on November 19, 2021, to the former beneficiaries under the VESP 2018 (the “VESP 2018 Tranche”). The VESP 2018 Tranche stock options are generally subject to a three-year vesting period with 1/36 of the stock options granted to the relevant beneficiary incrementally vesting for each month of employment of such beneficiary depending on the relevant vesting start date as set out in the relevant individual grant agreement. The then-vested VESP 2018 Tranche stock options may first be exercised one year after the closing of our IPO, which took place on November 19, 2021, and expire four years after the closing of our IPO.</w:t>
      </w:r>
    </w:p>
    <w:p>
      <w:pPr>
        <w:spacing w:after="0" w:line="185"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Immediately prior to the pricing of our IPO on November 16, 2021, we issued additional ordinary shares to all of our existing shareholders, replicating the effect of a share split. Each of our existing shareholders received 0.71 additional ordinary shares per ordinary share or high voting share held by them immediately prior to the pricing of our IPO, rounded down to the nearest integer. Our stock options reflect the effect of this issuance of share, as the underlying securities for one stock option changed from one ordinary share to 1.71 ordinary shares, with issuable shares being rounded down to the nearest full integer.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Participation Plan</w:t>
      </w:r>
    </w:p>
    <w:p>
      <w:pPr>
        <w:spacing w:after="0" w:line="222"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In 2022, we intend to implement a new employee stock option program (the “ESOP 2022”) under the LTIP to grant stock options to certain employees of the Company or any direct or indirect subsidiary. Under the ESOP 2022, as part of the 10% authorization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540"/>
        <w:spacing w:after="0" w:line="304" w:lineRule="auto"/>
        <w:rPr>
          <w:sz w:val="20"/>
          <w:szCs w:val="20"/>
          <w:color w:val="auto"/>
        </w:rPr>
      </w:pPr>
      <w:r>
        <w:rPr>
          <w:rFonts w:ascii="Times New Roman" w:cs="Times New Roman" w:eastAsia="Times New Roman" w:hAnsi="Times New Roman"/>
          <w:sz w:val="17"/>
          <w:szCs w:val="17"/>
          <w:color w:val="auto"/>
        </w:rPr>
        <w:t>under the LTIP, stock options may be granted by no later than December 31, 2024. The ESOP 2022 is currently being finalized. The description in this paragraph and below sets forth the current plan, which may change in important aspects during finalization.</w:t>
      </w:r>
    </w:p>
    <w:p>
      <w:pPr>
        <w:spacing w:after="0" w:line="142" w:lineRule="exact"/>
        <w:rPr>
          <w:sz w:val="20"/>
          <w:szCs w:val="20"/>
          <w:color w:val="auto"/>
        </w:rPr>
      </w:pPr>
    </w:p>
    <w:p>
      <w:pPr>
        <w:ind w:right="120" w:firstLine="318"/>
        <w:spacing w:after="0" w:line="282" w:lineRule="auto"/>
        <w:rPr>
          <w:sz w:val="20"/>
          <w:szCs w:val="20"/>
          <w:color w:val="auto"/>
        </w:rPr>
      </w:pPr>
      <w:r>
        <w:rPr>
          <w:rFonts w:ascii="Times New Roman" w:cs="Times New Roman" w:eastAsia="Times New Roman" w:hAnsi="Times New Roman"/>
          <w:sz w:val="17"/>
          <w:szCs w:val="17"/>
          <w:color w:val="auto"/>
        </w:rPr>
        <w:t>Stock options under the ESOP 2022 may be granted to our employees and other officers, who are not members of our management board or our supervisory board. The exercise price of the stock options, granted to each eligible beneficiary by a separate grant agreement in one or more tranches, shall be €0.06 for each stock option (subject to adjustments in case of certain reorganization measures).</w:t>
      </w:r>
    </w:p>
    <w:p>
      <w:pPr>
        <w:spacing w:after="0" w:line="160" w:lineRule="exact"/>
        <w:rPr>
          <w:sz w:val="20"/>
          <w:szCs w:val="20"/>
          <w:color w:val="auto"/>
        </w:rPr>
      </w:pPr>
    </w:p>
    <w:p>
      <w:pPr>
        <w:jc w:val="both"/>
        <w:ind w:right="120" w:firstLine="318"/>
        <w:spacing w:after="0" w:line="255" w:lineRule="auto"/>
        <w:rPr>
          <w:sz w:val="20"/>
          <w:szCs w:val="20"/>
          <w:color w:val="auto"/>
        </w:rPr>
      </w:pPr>
      <w:r>
        <w:rPr>
          <w:rFonts w:ascii="Times New Roman" w:cs="Times New Roman" w:eastAsia="Times New Roman" w:hAnsi="Times New Roman"/>
          <w:sz w:val="18"/>
          <w:szCs w:val="18"/>
          <w:color w:val="auto"/>
        </w:rPr>
        <w:t>The stock options are not subject to any performance criteria and shall vest in quarterly installments over a one-year vesting period, potentially subject to the condition that a cliff period of eighteen months has expired. In connection with the initial adoption of the ESOP 2022, a grant agreement may set forth for some or all of the stock options granted in 2022, a separate date on which vesting shall start and different cliff and vesting periods, such period not to be less than six months.</w:t>
      </w:r>
    </w:p>
    <w:p>
      <w:pPr>
        <w:spacing w:after="0" w:line="182"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Vested stock options may be exercised only during certain trading windows following the publication of our financial results. Each exercised stock option entitles the beneficiary to receive one share against payment of the exercise price. However, in fulfillment of any validly exercised stock options, the Company, at its sole discretion, may instead of the delivery of some or all resulting shares make a cash payment to the beneficiary.</w:t>
      </w:r>
    </w:p>
    <w:p>
      <w:pPr>
        <w:spacing w:after="0" w:line="18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the event of a good leaver’s (to be defined in the ESOP 2022) termination of employment or service, all vested awards must be exercised or settled in accordance with their terms within a period specified in the ESOP 2022 and all unvested awards shall be canceled automatically without compensation. In the event of a bad leaver’s (to be defined in the ESOP 2022) termination of employment or service, all vested and unvested awards will be canceled automatically without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0"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or code of conduct, which outlines the principles of legal and ethical business conduct under which we do business. The code of conduct applies to all of our management board members, supervisory board members and employees. The full text of the code of conduct is available on our website at www.ir.sonomotors.com. The information and other content appearing on our website are not part of this prospectus.</w:t>
      </w:r>
    </w:p>
    <w:p>
      <w:pPr>
        <w:spacing w:after="0" w:line="182" w:lineRule="exact"/>
        <w:rPr>
          <w:sz w:val="20"/>
          <w:szCs w:val="20"/>
          <w:color w:val="auto"/>
        </w:rPr>
      </w:pPr>
    </w:p>
    <w:p>
      <w:pPr>
        <w:ind w:right="240" w:firstLine="318"/>
        <w:spacing w:after="0" w:line="251" w:lineRule="auto"/>
        <w:rPr>
          <w:sz w:val="20"/>
          <w:szCs w:val="20"/>
          <w:color w:val="auto"/>
        </w:rPr>
      </w:pPr>
      <w:r>
        <w:rPr>
          <w:rFonts w:ascii="Times New Roman" w:cs="Times New Roman" w:eastAsia="Times New Roman" w:hAnsi="Times New Roman"/>
          <w:sz w:val="18"/>
          <w:szCs w:val="18"/>
          <w:color w:val="auto"/>
        </w:rPr>
        <w:t>In addition, we are in the process of implementing a compliance management policy which describes the compliance management system implemented at Sono Motors GmbH, which is designed to ensure compliance with all legal requirements, while at the same time implementing high ethical standards that are mandatory for both management and each employee. The overall responsibility for the compliance management system lies with the compliance circle, which includes members of our management board, which reports regularly to the audit committee. In the performance of its compliance responsibilities, the management board has delegated the corresponding tasks to various functions at Sono Motors GmbH.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0" w:lineRule="exact"/>
        <w:rPr>
          <w:sz w:val="20"/>
          <w:szCs w:val="20"/>
          <w:color w:val="auto"/>
        </w:rPr>
      </w:pPr>
    </w:p>
    <w:p>
      <w:pPr>
        <w:ind w:right="120" w:firstLine="318"/>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we have a subscribed capital in the amount of €9,592,126.44, which is divided into 84,868,744 ordinary shares, each with a nominal value of €0.06 and 3,000,000 high voting shares, each with a nominal value of €1.50. Our authorized share capital is €25,200,000, divided into 320,000,000 ordinary shares, each with a nominal value of €0.06, and 4,000,000 high voting shares, each with a nominal value of €1.50. The following table sets forth information, as of September 30, 2022, regarding the beneficial ownership of our ordinary shares and our high voting shares:</w:t>
      </w:r>
    </w:p>
    <w:p>
      <w:pPr>
        <w:spacing w:after="0" w:line="182" w:lineRule="exact"/>
        <w:rPr>
          <w:sz w:val="20"/>
          <w:szCs w:val="20"/>
          <w:color w:val="auto"/>
        </w:rPr>
      </w:pPr>
    </w:p>
    <w:p>
      <w:pPr>
        <w:ind w:left="680" w:right="320" w:hanging="328"/>
        <w:spacing w:after="0" w:line="274" w:lineRule="auto"/>
        <w:tabs>
          <w:tab w:leader="none" w:pos="68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person, or group of affiliated persons, known by us to own beneficially 5% or more of our outstanding ordinary shares or high voting shares;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management board member and supervisory board member; and</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management board members and supervisory board members as a group.</w:t>
      </w:r>
    </w:p>
    <w:p>
      <w:pPr>
        <w:spacing w:after="0" w:line="218"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September 30, 2022,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70"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c/o Sono Group N.V., Waldmeisterstraße 76, 80935 Munich, Germany.</w:t>
      </w:r>
    </w:p>
    <w:p>
      <w:pPr>
        <w:spacing w:after="0" w:line="176"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2"/>
          <w:szCs w:val="12"/>
          <w:b w:val="1"/>
          <w:bCs w:val="1"/>
          <w:color w:val="auto"/>
        </w:rPr>
        <w:t>Shares beneficially owned</w:t>
      </w:r>
    </w:p>
    <w:p>
      <w:pPr>
        <w:spacing w:after="0" w:line="9"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2"/>
          <w:szCs w:val="12"/>
          <w:b w:val="1"/>
          <w:bCs w:val="1"/>
          <w:color w:val="auto"/>
        </w:rPr>
        <w:t>before this offering</w:t>
      </w: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top w:val="single" w:sz="8" w:color="auto"/>
            </w:tcBorders>
            <w:gridSpan w:val="3"/>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Ordinary</w:t>
            </w: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jc w:val="center"/>
              <w:ind w:left="618"/>
              <w:spacing w:after="0"/>
              <w:rPr>
                <w:sz w:val="20"/>
                <w:szCs w:val="20"/>
                <w:color w:val="auto"/>
              </w:rPr>
            </w:pPr>
            <w:r>
              <w:rPr>
                <w:rFonts w:ascii="Times New Roman" w:cs="Times New Roman" w:eastAsia="Times New Roman" w:hAnsi="Times New Roman"/>
                <w:sz w:val="12"/>
                <w:szCs w:val="12"/>
                <w:b w:val="1"/>
                <w:bCs w:val="1"/>
                <w:color w:val="auto"/>
              </w:rPr>
              <w:t>High voting</w:t>
            </w: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Combined voting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3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Shareholder</w:t>
            </w:r>
          </w:p>
        </w:tc>
        <w:tc>
          <w:tcPr>
            <w:tcW w:w="1440" w:type="dxa"/>
            <w:vAlign w:val="bottom"/>
            <w:tcBorders>
              <w:bottom w:val="single" w:sz="8" w:color="auto"/>
            </w:tcBorders>
            <w:gridSpan w:val="3"/>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Borders>
              <w:bottom w:val="single" w:sz="8" w:color="auto"/>
            </w:tcBorders>
            <w:gridSpan w:val="3"/>
          </w:tcPr>
          <w:p>
            <w:pPr>
              <w:jc w:val="center"/>
              <w:ind w:left="61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power</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040" w:type="dxa"/>
            <w:vAlign w:val="bottom"/>
            <w:gridSpan w:val="2"/>
            <w:vMerge w:val="continue"/>
          </w:tcPr>
          <w:p>
            <w:pPr>
              <w:spacing w:after="0"/>
              <w:rPr>
                <w:sz w:val="10"/>
                <w:szCs w:val="10"/>
                <w:color w:val="auto"/>
              </w:rPr>
            </w:pPr>
          </w:p>
        </w:tc>
        <w:tc>
          <w:tcPr>
            <w:tcW w:w="1440" w:type="dxa"/>
            <w:vAlign w:val="bottom"/>
            <w:gridSpan w:val="3"/>
          </w:tcPr>
          <w:p>
            <w:pPr>
              <w:ind w:left="280"/>
              <w:spacing w:after="0" w:line="126" w:lineRule="exact"/>
              <w:rPr>
                <w:sz w:val="20"/>
                <w:szCs w:val="20"/>
                <w:color w:val="auto"/>
              </w:rPr>
            </w:pPr>
            <w:r>
              <w:rPr>
                <w:rFonts w:ascii="Times New Roman" w:cs="Times New Roman" w:eastAsia="Times New Roman" w:hAnsi="Times New Roman"/>
                <w:sz w:val="12"/>
                <w:szCs w:val="12"/>
                <w:b w:val="1"/>
                <w:bCs w:val="1"/>
                <w:color w:val="auto"/>
              </w:rPr>
              <w:t>Number</w:t>
            </w:r>
          </w:p>
        </w:tc>
        <w:tc>
          <w:tcPr>
            <w:tcW w:w="680" w:type="dxa"/>
            <w:vAlign w:val="bottom"/>
          </w:tcPr>
          <w:p>
            <w:pPr>
              <w:jc w:val="right"/>
              <w:ind w:right="358"/>
              <w:spacing w:after="0" w:line="126"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0"/>
                <w:szCs w:val="10"/>
                <w:color w:val="auto"/>
              </w:rPr>
            </w:pPr>
          </w:p>
        </w:tc>
        <w:tc>
          <w:tcPr>
            <w:tcW w:w="15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2"/>
                <w:szCs w:val="12"/>
                <w:b w:val="1"/>
                <w:bCs w:val="1"/>
                <w:color w:val="auto"/>
              </w:rPr>
              <w:t>Number</w:t>
            </w:r>
          </w:p>
        </w:tc>
        <w:tc>
          <w:tcPr>
            <w:tcW w:w="680" w:type="dxa"/>
            <w:vAlign w:val="bottom"/>
          </w:tcPr>
          <w:p>
            <w:pPr>
              <w:jc w:val="right"/>
              <w:ind w:right="358"/>
              <w:spacing w:after="0" w:line="126"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80" w:type="dxa"/>
            <w:vAlign w:val="bottom"/>
            <w:tcBorders>
              <w:top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5% shareholders</w:t>
            </w: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gridSpan w:val="2"/>
          </w:tcPr>
          <w:p>
            <w:pPr>
              <w:spacing w:after="0" w:line="133" w:lineRule="exact"/>
              <w:rPr>
                <w:sz w:val="20"/>
                <w:szCs w:val="20"/>
                <w:color w:val="auto"/>
              </w:rPr>
            </w:pPr>
            <w:r>
              <w:rPr>
                <w:rFonts w:ascii="Times New Roman" w:cs="Times New Roman" w:eastAsia="Times New Roman" w:hAnsi="Times New Roman"/>
                <w:sz w:val="11"/>
                <w:szCs w:val="11"/>
                <w:color w:val="auto"/>
              </w:rPr>
              <w:t>Matthias Willenbacher</w:t>
            </w:r>
            <w:r>
              <w:rPr>
                <w:rFonts w:ascii="Times New Roman" w:cs="Times New Roman" w:eastAsia="Times New Roman" w:hAnsi="Times New Roman"/>
                <w:sz w:val="15"/>
                <w:szCs w:val="15"/>
                <w:color w:val="auto"/>
                <w:vertAlign w:val="superscript"/>
              </w:rPr>
              <w:t>(1)</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4,475,070</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5.27</w:t>
            </w:r>
          </w:p>
        </w:tc>
        <w:tc>
          <w:tcPr>
            <w:tcW w:w="180" w:type="dxa"/>
            <w:vAlign w:val="bottom"/>
          </w:tcPr>
          <w:p>
            <w:pPr>
              <w:jc w:val="right"/>
              <w:ind w:right="18"/>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540" w:type="dxa"/>
            <w:vAlign w:val="bottom"/>
            <w:gridSpan w:val="3"/>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2.80</w:t>
            </w:r>
          </w:p>
        </w:tc>
        <w:tc>
          <w:tcPr>
            <w:tcW w:w="2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33"/>
        </w:trPr>
        <w:tc>
          <w:tcPr>
            <w:tcW w:w="40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Members of our supervisory board</w:t>
            </w: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Martina Buchhauser</w:t>
            </w:r>
          </w:p>
        </w:tc>
        <w:tc>
          <w:tcPr>
            <w:tcW w:w="1440" w:type="dxa"/>
            <w:vAlign w:val="bottom"/>
            <w:gridSpan w:val="3"/>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540" w:type="dxa"/>
            <w:vAlign w:val="bottom"/>
            <w:gridSpan w:val="3"/>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Sebastian Böttger</w:t>
            </w:r>
          </w:p>
        </w:tc>
        <w:tc>
          <w:tcPr>
            <w:tcW w:w="1440" w:type="dxa"/>
            <w:vAlign w:val="bottom"/>
            <w:gridSpan w:val="3"/>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Robert A. Jeffe</w:t>
            </w:r>
          </w:p>
        </w:tc>
        <w:tc>
          <w:tcPr>
            <w:tcW w:w="1440" w:type="dxa"/>
            <w:vAlign w:val="bottom"/>
            <w:gridSpan w:val="3"/>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540" w:type="dxa"/>
            <w:vAlign w:val="bottom"/>
            <w:gridSpan w:val="3"/>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Johannes Trischler</w:t>
            </w:r>
          </w:p>
        </w:tc>
        <w:tc>
          <w:tcPr>
            <w:tcW w:w="1440" w:type="dxa"/>
            <w:vAlign w:val="bottom"/>
            <w:gridSpan w:val="3"/>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Members of our management board</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Laurin Hahn</w:t>
            </w:r>
            <w:r>
              <w:rPr>
                <w:rFonts w:ascii="Times New Roman" w:cs="Times New Roman" w:eastAsia="Times New Roman" w:hAnsi="Times New Roman"/>
                <w:sz w:val="15"/>
                <w:szCs w:val="15"/>
                <w:color w:val="auto"/>
                <w:vertAlign w:val="superscript"/>
              </w:rPr>
              <w:t>(2)</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19,769,503</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23.33</w:t>
            </w:r>
          </w:p>
        </w:tc>
        <w:tc>
          <w:tcPr>
            <w:tcW w:w="180" w:type="dxa"/>
            <w:vAlign w:val="bottom"/>
            <w:shd w:val="clear" w:color="auto" w:fill="CCEEFF"/>
          </w:tcPr>
          <w:p>
            <w:pPr>
              <w:jc w:val="right"/>
              <w:ind w:right="18"/>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1,578,947</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52.63</w:t>
            </w:r>
          </w:p>
        </w:tc>
        <w:tc>
          <w:tcPr>
            <w:tcW w:w="180" w:type="dxa"/>
            <w:vAlign w:val="bottom"/>
            <w:shd w:val="clear" w:color="auto" w:fill="CCEEFF"/>
          </w:tcPr>
          <w:p>
            <w:pPr>
              <w:jc w:val="right"/>
              <w:ind w:right="18"/>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37.07</w:t>
            </w:r>
          </w:p>
        </w:tc>
        <w:tc>
          <w:tcPr>
            <w:tcW w:w="2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33"/>
        </w:trPr>
        <w:tc>
          <w:tcPr>
            <w:tcW w:w="4040" w:type="dxa"/>
            <w:vAlign w:val="bottom"/>
            <w:gridSpan w:val="2"/>
          </w:tcPr>
          <w:p>
            <w:pPr>
              <w:spacing w:after="0" w:line="133" w:lineRule="exact"/>
              <w:rPr>
                <w:sz w:val="20"/>
                <w:szCs w:val="20"/>
                <w:color w:val="auto"/>
              </w:rPr>
            </w:pPr>
            <w:r>
              <w:rPr>
                <w:rFonts w:ascii="Times New Roman" w:cs="Times New Roman" w:eastAsia="Times New Roman" w:hAnsi="Times New Roman"/>
                <w:sz w:val="11"/>
                <w:szCs w:val="11"/>
                <w:color w:val="auto"/>
              </w:rPr>
              <w:t>Jona Christians</w:t>
            </w:r>
            <w:r>
              <w:rPr>
                <w:rFonts w:ascii="Times New Roman" w:cs="Times New Roman" w:eastAsia="Times New Roman" w:hAnsi="Times New Roman"/>
                <w:sz w:val="15"/>
                <w:szCs w:val="15"/>
                <w:color w:val="auto"/>
                <w:vertAlign w:val="superscript"/>
              </w:rPr>
              <w:t>(2)</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17,816,447</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20.99</w:t>
            </w:r>
          </w:p>
        </w:tc>
        <w:tc>
          <w:tcPr>
            <w:tcW w:w="180" w:type="dxa"/>
            <w:vAlign w:val="bottom"/>
          </w:tcPr>
          <w:p>
            <w:pPr>
              <w:jc w:val="right"/>
              <w:ind w:right="18"/>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1,421,053</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47.37</w:t>
            </w:r>
          </w:p>
        </w:tc>
        <w:tc>
          <w:tcPr>
            <w:tcW w:w="180" w:type="dxa"/>
            <w:vAlign w:val="bottom"/>
          </w:tcPr>
          <w:p>
            <w:pPr>
              <w:jc w:val="right"/>
              <w:ind w:right="18"/>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33.37</w:t>
            </w:r>
          </w:p>
        </w:tc>
        <w:tc>
          <w:tcPr>
            <w:tcW w:w="2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33"/>
        </w:trPr>
        <w:tc>
          <w:tcPr>
            <w:tcW w:w="40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Torsten Kiedel</w:t>
            </w:r>
            <w:r>
              <w:rPr>
                <w:rFonts w:ascii="Times New Roman" w:cs="Times New Roman" w:eastAsia="Times New Roman" w:hAnsi="Times New Roman"/>
                <w:sz w:val="15"/>
                <w:szCs w:val="15"/>
                <w:color w:val="auto"/>
                <w:vertAlign w:val="superscript"/>
              </w:rPr>
              <w:t>(3)</w:t>
            </w:r>
          </w:p>
        </w:tc>
        <w:tc>
          <w:tcPr>
            <w:tcW w:w="1440" w:type="dxa"/>
            <w:vAlign w:val="bottom"/>
            <w:gridSpan w:val="3"/>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gridSpan w:val="2"/>
          </w:tcPr>
          <w:p>
            <w:pPr>
              <w:spacing w:after="0" w:line="133" w:lineRule="exact"/>
              <w:rPr>
                <w:sz w:val="20"/>
                <w:szCs w:val="20"/>
                <w:color w:val="auto"/>
              </w:rPr>
            </w:pPr>
            <w:r>
              <w:rPr>
                <w:rFonts w:ascii="Times New Roman" w:cs="Times New Roman" w:eastAsia="Times New Roman" w:hAnsi="Times New Roman"/>
                <w:sz w:val="11"/>
                <w:szCs w:val="11"/>
                <w:color w:val="auto"/>
              </w:rPr>
              <w:t>Thomas Hausch</w:t>
            </w:r>
            <w:r>
              <w:rPr>
                <w:rFonts w:ascii="Times New Roman" w:cs="Times New Roman" w:eastAsia="Times New Roman" w:hAnsi="Times New Roman"/>
                <w:sz w:val="15"/>
                <w:szCs w:val="15"/>
                <w:color w:val="auto"/>
                <w:vertAlign w:val="superscript"/>
              </w:rPr>
              <w:t>(4)</w:t>
            </w:r>
          </w:p>
        </w:tc>
        <w:tc>
          <w:tcPr>
            <w:tcW w:w="1440" w:type="dxa"/>
            <w:vAlign w:val="bottom"/>
            <w:gridSpan w:val="3"/>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540" w:type="dxa"/>
            <w:vAlign w:val="bottom"/>
            <w:gridSpan w:val="3"/>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Markus Volmer</w:t>
            </w:r>
            <w:r>
              <w:rPr>
                <w:rFonts w:ascii="Times New Roman" w:cs="Times New Roman" w:eastAsia="Times New Roman" w:hAnsi="Times New Roman"/>
                <w:sz w:val="15"/>
                <w:szCs w:val="15"/>
                <w:color w:val="auto"/>
                <w:vertAlign w:val="superscript"/>
              </w:rPr>
              <w:t>(5)</w:t>
            </w:r>
          </w:p>
        </w:tc>
        <w:tc>
          <w:tcPr>
            <w:tcW w:w="1440" w:type="dxa"/>
            <w:vAlign w:val="bottom"/>
            <w:gridSpan w:val="3"/>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right"/>
              <w:ind w:righ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04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All members of our supervisory board and management board, as a</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group</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37,612,500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44.32</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61595</wp:posOffset>
            </wp:positionV>
            <wp:extent cx="1575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164" w:lineRule="exact"/>
        <w:rPr>
          <w:sz w:val="20"/>
          <w:szCs w:val="20"/>
          <w:color w:val="auto"/>
        </w:rPr>
      </w:pPr>
    </w:p>
    <w:p>
      <w:pPr>
        <w:ind w:left="320" w:right="20" w:hanging="313"/>
        <w:spacing w:after="0" w:line="255" w:lineRule="auto"/>
        <w:tabs>
          <w:tab w:leader="none" w:pos="3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Includes 3,443,940 ordinary shares held by Matthias Willenbacher and 1,031,130 ordinary shares held by Wi Venture Sono GmbH &amp; Co. KG. Matthias Willenbacher controls the voting and investment decisions of Wi Venture Management GmbH, the general partner of </w:t>
      </w:r>
      <w:r>
        <w:rPr>
          <w:rFonts w:ascii="Times New Roman" w:cs="Times New Roman" w:eastAsia="Times New Roman" w:hAnsi="Times New Roman"/>
          <w:sz w:val="18"/>
          <w:szCs w:val="18"/>
          <w:color w:val="000000"/>
        </w:rPr>
        <w:t>Wi Venture Sono GmbH &amp; Co. KG. The address of Matthias Willenbacher, Wi Venture Management GmbH and Wi Venture Sono GmbH &amp; Co. KG is Schneebergerhof 14, 67813 Gerbach.</w:t>
      </w:r>
    </w:p>
    <w:p>
      <w:pPr>
        <w:spacing w:after="0" w:line="181" w:lineRule="exact"/>
        <w:rPr>
          <w:rFonts w:ascii="Times New Roman" w:cs="Times New Roman" w:eastAsia="Times New Roman" w:hAnsi="Times New Roman"/>
          <w:sz w:val="18"/>
          <w:szCs w:val="18"/>
          <w:color w:val="231F20"/>
        </w:rPr>
      </w:pPr>
    </w:p>
    <w:p>
      <w:pPr>
        <w:ind w:left="320" w:right="380" w:hanging="313"/>
        <w:spacing w:after="0" w:line="275" w:lineRule="auto"/>
        <w:tabs>
          <w:tab w:leader="none" w:pos="320"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Laurin Hahn and Jona Christians, together with Navina Pernsteiner, gave profit participation rights originally associated with their shares in Sono Motors GmbH and now, after our corporate reorganization, equivalent to 18,399,456, 16,556,510 and 1,839,946 ordinary shares in Sono Group N.V., respectively, to a “community pool” as further described under “</w:t>
      </w:r>
      <w:r>
        <w:rPr>
          <w:rFonts w:ascii="Times New Roman" w:cs="Times New Roman" w:eastAsia="Times New Roman" w:hAnsi="Times New Roman"/>
          <w:sz w:val="17"/>
          <w:szCs w:val="17"/>
          <w:i w:val="1"/>
          <w:iCs w:val="1"/>
          <w:color w:val="231F20"/>
        </w:rPr>
        <w:t>Risk Factors — Regulatory,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Legal and Tax Risks</w:t>
      </w:r>
      <w:r>
        <w:rPr>
          <w:rFonts w:ascii="Times New Roman" w:cs="Times New Roman" w:eastAsia="Times New Roman" w:hAnsi="Times New Roman"/>
          <w:sz w:val="17"/>
          <w:szCs w:val="17"/>
          <w:color w:val="231F20"/>
        </w:rPr>
        <w:t>” and Note 4.11.4 to our consolidated financial statements included elsewhere in this prospectus.</w:t>
      </w:r>
    </w:p>
    <w:p>
      <w:pPr>
        <w:spacing w:after="0" w:line="165" w:lineRule="exact"/>
        <w:rPr>
          <w:rFonts w:ascii="Times New Roman" w:cs="Times New Roman" w:eastAsia="Times New Roman" w:hAnsi="Times New Roman"/>
          <w:sz w:val="17"/>
          <w:szCs w:val="17"/>
          <w:color w:val="231F20"/>
        </w:rPr>
      </w:pPr>
    </w:p>
    <w:p>
      <w:pPr>
        <w:ind w:left="320" w:right="380" w:hanging="313"/>
        <w:spacing w:after="0" w:line="274" w:lineRule="auto"/>
        <w:tabs>
          <w:tab w:leader="none" w:pos="3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Torsten Kiedel joined Sono Motors on February 1, 2020 and became a member of our management board immediately prior to the pricing of the IPO.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right="500" w:hanging="313"/>
        <w:spacing w:after="0" w:line="274" w:lineRule="auto"/>
        <w:tabs>
          <w:tab w:leader="none" w:pos="32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Thomas Hausch joined Sono Motors on June 13, 2018 and became a member of our management board immediately prior to the pricing of the IPO.</w:t>
      </w:r>
    </w:p>
    <w:p>
      <w:pPr>
        <w:spacing w:after="0" w:line="164" w:lineRule="exact"/>
        <w:rPr>
          <w:rFonts w:ascii="Times New Roman" w:cs="Times New Roman" w:eastAsia="Times New Roman" w:hAnsi="Times New Roman"/>
          <w:sz w:val="18"/>
          <w:szCs w:val="18"/>
          <w:color w:val="231F20"/>
        </w:rPr>
      </w:pPr>
    </w:p>
    <w:p>
      <w:pPr>
        <w:ind w:left="320" w:right="20" w:hanging="313"/>
        <w:spacing w:after="0" w:line="274" w:lineRule="auto"/>
        <w:tabs>
          <w:tab w:leader="none" w:pos="32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Markus Volmer joined Sono Motors on February 1, 2021 and became a member of our management board immediately prior to pricing of the IPO.</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To our knowledge, other than as provided in the table above, our other filings with the SEC, public disclosure and this prospectus, there has been no significant change in the percentage ownership held by any other major shareholder since January 1, 2019.</w:t>
      </w:r>
    </w:p>
    <w:p>
      <w:pPr>
        <w:spacing w:after="0" w:line="164"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To our knowledge, 1,477,709 ordinary shares, representing 1.68% of our total outstanding ordinary shares, were held by 17 record shareholders with registered addresses in the United States.</w:t>
      </w:r>
    </w:p>
    <w:p>
      <w:pPr>
        <w:spacing w:after="0" w:line="164"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Each of our shareholders is entitled to one vote per ordinary share and each shareholder of our high voting shares is entitled to 25 votes per high voting share. Except for our high-voting shares, none of the holders of our ordinary shares has different voting rights from other holders of ordinary shares. We are not aware of any arrangement that may, at a subsequent date, result in a change of control of our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0" w:lineRule="exact"/>
        <w:rPr>
          <w:sz w:val="20"/>
          <w:szCs w:val="20"/>
          <w:color w:val="auto"/>
        </w:rPr>
      </w:pPr>
    </w:p>
    <w:p>
      <w:pPr>
        <w:ind w:right="60" w:firstLine="356"/>
        <w:spacing w:after="0" w:line="249" w:lineRule="auto"/>
        <w:rPr>
          <w:sz w:val="20"/>
          <w:szCs w:val="20"/>
          <w:color w:val="auto"/>
        </w:rPr>
      </w:pPr>
      <w:r>
        <w:rPr>
          <w:rFonts w:ascii="Times New Roman" w:cs="Times New Roman" w:eastAsia="Times New Roman" w:hAnsi="Times New Roman"/>
          <w:sz w:val="18"/>
          <w:szCs w:val="18"/>
          <w:color w:val="auto"/>
        </w:rPr>
        <w:t>This prospectus relates to the offer and sale by the Selling Shareholder of up to 14,138,867 ordinary shares that have been and may be issued by us to the Selling Shareholder under the Purchase Agreement. For additional information regarding the ordinary shares included in this prospectus, see the section titled “</w:t>
      </w:r>
      <w:r>
        <w:rPr>
          <w:rFonts w:ascii="Times New Roman" w:cs="Times New Roman" w:eastAsia="Times New Roman" w:hAnsi="Times New Roman"/>
          <w:sz w:val="18"/>
          <w:szCs w:val="18"/>
          <w:i w:val="1"/>
          <w:iCs w:val="1"/>
          <w:color w:val="auto"/>
        </w:rPr>
        <w:t>The Committed Equity Financing</w:t>
      </w:r>
      <w:r>
        <w:rPr>
          <w:rFonts w:ascii="Times New Roman" w:cs="Times New Roman" w:eastAsia="Times New Roman" w:hAnsi="Times New Roman"/>
          <w:sz w:val="18"/>
          <w:szCs w:val="18"/>
          <w:color w:val="auto"/>
        </w:rPr>
        <w:t>” above. We are registering the ordinary shares included in this prospectus pursuant to the provisions of the Registration Rights Agreement we entered into with the Selling Shareholder on June 13, 2022 in order to permit the Selling Shareholder to offer the shares included in this prospectus for resale from time to time. Except for the acquisiton of 442,748 ordinary shares prior to our IPO, the participation as one of the underwriters in our initial public offering in November 2021 and our follow-on offering in May 2022 through an affiliate of the Selling Shareholder, the transactions contemplated by the Purchase Agreement and the Registration Rights Agreement and as set forth in the section titled “</w:t>
      </w:r>
      <w:r>
        <w:rPr>
          <w:rFonts w:ascii="Times New Roman" w:cs="Times New Roman" w:eastAsia="Times New Roman" w:hAnsi="Times New Roman"/>
          <w:sz w:val="18"/>
          <w:szCs w:val="18"/>
          <w:i w:val="1"/>
          <w:iCs w:val="1"/>
          <w:color w:val="auto"/>
        </w:rPr>
        <w:t>Plan of Distribution (Conflicts of Interest)</w:t>
      </w:r>
      <w:r>
        <w:rPr>
          <w:rFonts w:ascii="Times New Roman" w:cs="Times New Roman" w:eastAsia="Times New Roman" w:hAnsi="Times New Roman"/>
          <w:sz w:val="18"/>
          <w:szCs w:val="18"/>
          <w:color w:val="auto"/>
        </w:rPr>
        <w:t>” in this prospectus, the Selling Shareholder has not had any material relationship with us within the past three years.</w:t>
      </w:r>
    </w:p>
    <w:p>
      <w:pPr>
        <w:spacing w:after="0" w:line="187" w:lineRule="exact"/>
        <w:rPr>
          <w:sz w:val="20"/>
          <w:szCs w:val="20"/>
          <w:color w:val="auto"/>
        </w:rPr>
      </w:pPr>
    </w:p>
    <w:p>
      <w:pPr>
        <w:ind w:firstLine="356"/>
        <w:spacing w:after="0" w:line="249"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Shareholder and the ordinary shares that may be resold by the Selling Shareholder from time to time under this prospectus. This table is prepared based on information supplied to us by the Selling Shareholder, and reflects holdings as of October 6, 2022. The number of shares in the column “Maximum Number of Shares of Ordinary Shares to be Offered Pursuant to this Prospectus” represents all of the ordinary shares being offered for resale by the Selling Shareholder under this prospectus. The Selling Shareholder may sell some, all or none of the shares being offered for resale in this offering. We do not know how long the Selling Shareholder will hold the shares before selling them, and, except as set forth in the section titled “</w:t>
      </w:r>
      <w:r>
        <w:rPr>
          <w:rFonts w:ascii="Times New Roman" w:cs="Times New Roman" w:eastAsia="Times New Roman" w:hAnsi="Times New Roman"/>
          <w:sz w:val="18"/>
          <w:szCs w:val="18"/>
          <w:i w:val="1"/>
          <w:iCs w:val="1"/>
          <w:color w:val="auto"/>
        </w:rPr>
        <w:t>Plan of Distribution (Conflicts of Interest)</w:t>
      </w:r>
      <w:r>
        <w:rPr>
          <w:rFonts w:ascii="Times New Roman" w:cs="Times New Roman" w:eastAsia="Times New Roman" w:hAnsi="Times New Roman"/>
          <w:sz w:val="18"/>
          <w:szCs w:val="18"/>
          <w:color w:val="auto"/>
        </w:rPr>
        <w:t>” in this prospectus, we are not aware of any existing arrangements between the Selling Shareholder and any other shareholder, broker, dealer, underwriter or agent relating to the sale or distribution of the ordinary being offered for resale by this prospectus.</w:t>
      </w:r>
    </w:p>
    <w:p>
      <w:pPr>
        <w:spacing w:after="0" w:line="190" w:lineRule="exact"/>
        <w:rPr>
          <w:sz w:val="20"/>
          <w:szCs w:val="20"/>
          <w:color w:val="auto"/>
        </w:rPr>
      </w:pPr>
    </w:p>
    <w:p>
      <w:pPr>
        <w:ind w:right="340" w:firstLine="354"/>
        <w:spacing w:after="0" w:line="257"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ordinary shares with respect to which the Selling Shareholder has sole or shared voting and investment power.</w:t>
      </w:r>
    </w:p>
    <w:p>
      <w:pPr>
        <w:spacing w:after="0" w:line="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The percentage of ordinary shares beneficially owned by the Selling Shareholder prior to the offering shown in the table below is based on an aggregate of 84,868,774 of our ordinary shares outstanding on October 6, 2022. The purchase price to be paid by the Selling Shareholder for ordinary shares, if any, that we may elect to sell to the Selling Shareholder in one or more VWAP Purchases and one or more Intraday VWAP Purchases from time to time under the Purchase Agreement will be determined on the applicable Purchase Dates therefor. In addition, the actual number of ordinary shares that we may sell to the Selling Shareholder under the Purchase Agreement may be fewer than the number of ordinary shares being offered for resale under this prospectus. The fourth column assumes the resale by the Selling Shareholder of all of the ordinary shares being offered for resale pursuant to this prospectus.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180" w:type="dxa"/>
            <w:vAlign w:val="bottom"/>
          </w:tcPr>
          <w:p>
            <w:pPr>
              <w:spacing w:after="0"/>
              <w:rPr>
                <w:sz w:val="13"/>
                <w:szCs w:val="13"/>
                <w:color w:val="auto"/>
              </w:rPr>
            </w:pPr>
          </w:p>
        </w:tc>
        <w:tc>
          <w:tcPr>
            <w:tcW w:w="2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24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0" w:type="dxa"/>
            <w:vAlign w:val="bottom"/>
          </w:tcPr>
          <w:p>
            <w:pPr>
              <w:spacing w:after="0"/>
              <w:rPr>
                <w:sz w:val="1"/>
                <w:szCs w:val="1"/>
                <w:color w:val="auto"/>
              </w:rPr>
            </w:pPr>
          </w:p>
        </w:tc>
      </w:tr>
      <w:tr>
        <w:trPr>
          <w:trHeight w:val="80"/>
        </w:trPr>
        <w:tc>
          <w:tcPr>
            <w:tcW w:w="2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gridSpan w:val="3"/>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 Owned Prior</w:t>
            </w:r>
          </w:p>
        </w:tc>
        <w:tc>
          <w:tcPr>
            <w:tcW w:w="180" w:type="dxa"/>
            <w:vAlign w:val="bottom"/>
          </w:tcPr>
          <w:p>
            <w:pPr>
              <w:spacing w:after="0"/>
              <w:rPr>
                <w:sz w:val="6"/>
                <w:szCs w:val="6"/>
                <w:color w:val="auto"/>
              </w:rPr>
            </w:pPr>
          </w:p>
        </w:tc>
        <w:tc>
          <w:tcPr>
            <w:tcW w:w="2220" w:type="dxa"/>
            <w:vAlign w:val="bottom"/>
            <w:gridSpan w:val="2"/>
            <w:vMerge w:val="continue"/>
          </w:tcPr>
          <w:p>
            <w:pPr>
              <w:spacing w:after="0"/>
              <w:rPr>
                <w:sz w:val="6"/>
                <w:szCs w:val="6"/>
                <w:color w:val="auto"/>
              </w:rPr>
            </w:pPr>
          </w:p>
        </w:tc>
        <w:tc>
          <w:tcPr>
            <w:tcW w:w="2420" w:type="dxa"/>
            <w:vAlign w:val="bottom"/>
            <w:gridSpan w:val="5"/>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 Owned After</w:t>
            </w:r>
          </w:p>
        </w:tc>
        <w:tc>
          <w:tcPr>
            <w:tcW w:w="0" w:type="dxa"/>
            <w:vAlign w:val="bottom"/>
          </w:tcPr>
          <w:p>
            <w:pPr>
              <w:spacing w:after="0"/>
              <w:rPr>
                <w:sz w:val="1"/>
                <w:szCs w:val="1"/>
                <w:color w:val="auto"/>
              </w:rPr>
            </w:pPr>
          </w:p>
        </w:tc>
      </w:tr>
      <w:tr>
        <w:trPr>
          <w:trHeight w:val="66"/>
        </w:trPr>
        <w:tc>
          <w:tcPr>
            <w:tcW w:w="2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222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Shares to be</w:t>
            </w:r>
          </w:p>
        </w:tc>
        <w:tc>
          <w:tcPr>
            <w:tcW w:w="2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Offering</w:t>
            </w:r>
          </w:p>
        </w:tc>
        <w:tc>
          <w:tcPr>
            <w:tcW w:w="180" w:type="dxa"/>
            <w:vAlign w:val="bottom"/>
          </w:tcPr>
          <w:p>
            <w:pPr>
              <w:spacing w:after="0"/>
              <w:rPr>
                <w:sz w:val="6"/>
                <w:szCs w:val="6"/>
                <w:color w:val="auto"/>
              </w:rPr>
            </w:pPr>
          </w:p>
        </w:tc>
        <w:tc>
          <w:tcPr>
            <w:tcW w:w="2220" w:type="dxa"/>
            <w:vAlign w:val="bottom"/>
            <w:gridSpan w:val="2"/>
            <w:vMerge w:val="continue"/>
          </w:tcPr>
          <w:p>
            <w:pPr>
              <w:spacing w:after="0"/>
              <w:rPr>
                <w:sz w:val="6"/>
                <w:szCs w:val="6"/>
                <w:color w:val="auto"/>
              </w:rPr>
            </w:pPr>
          </w:p>
        </w:tc>
        <w:tc>
          <w:tcPr>
            <w:tcW w:w="1500" w:type="dxa"/>
            <w:vAlign w:val="bottom"/>
            <w:gridSpan w:val="3"/>
            <w:vMerge w:val="restart"/>
          </w:tcPr>
          <w:p>
            <w:pPr>
              <w:jc w:val="center"/>
              <w:ind w:left="786"/>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20" w:type="dxa"/>
            <w:vAlign w:val="bottom"/>
            <w:tcBorders>
              <w:bottom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222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Offered Pursuant to this</w:t>
            </w:r>
          </w:p>
        </w:tc>
        <w:tc>
          <w:tcPr>
            <w:tcW w:w="1500" w:type="dxa"/>
            <w:vAlign w:val="bottom"/>
            <w:tcBorders>
              <w:bottom w:val="single" w:sz="8" w:color="auto"/>
            </w:tcBorders>
            <w:gridSpan w:val="3"/>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Shareholder</w:t>
            </w: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vMerge w:val="restart"/>
          </w:tcPr>
          <w:p>
            <w:pPr>
              <w:ind w:left="140"/>
              <w:spacing w:after="0" w:line="206"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3"/>
                <w:szCs w:val="3"/>
                <w:color w:val="auto"/>
              </w:rPr>
            </w:pPr>
          </w:p>
        </w:tc>
        <w:tc>
          <w:tcPr>
            <w:tcW w:w="2220" w:type="dxa"/>
            <w:vAlign w:val="bottom"/>
            <w:gridSpan w:val="2"/>
            <w:vMerge w:val="continue"/>
          </w:tcPr>
          <w:p>
            <w:pPr>
              <w:spacing w:after="0"/>
              <w:rPr>
                <w:sz w:val="3"/>
                <w:szCs w:val="3"/>
                <w:color w:val="auto"/>
              </w:rPr>
            </w:pPr>
          </w:p>
        </w:tc>
        <w:tc>
          <w:tcPr>
            <w:tcW w:w="1500" w:type="dxa"/>
            <w:vAlign w:val="bottom"/>
            <w:gridSpan w:val="3"/>
            <w:vMerge w:val="restart"/>
          </w:tcPr>
          <w:p>
            <w:pPr>
              <w:ind w:left="220"/>
              <w:spacing w:after="0" w:line="206"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21"/>
                <w:szCs w:val="21"/>
                <w:b w:val="1"/>
                <w:bCs w:val="1"/>
                <w:color w:val="auto"/>
                <w:vertAlign w:val="superscript"/>
              </w:rPr>
              <w:t>(2)</w:t>
            </w:r>
          </w:p>
        </w:tc>
        <w:tc>
          <w:tcPr>
            <w:tcW w:w="92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line="20" w:lineRule="exact"/>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50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40" w:type="dxa"/>
            <w:vAlign w:val="bottom"/>
            <w:tcBorders>
              <w:top w:val="single" w:sz="8" w:color="auto"/>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Joh. Berenberg, Gossler &amp; Co. KG(3)</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442,748</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5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14,138,867</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5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3"/>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total outstanding ordinary shares.</w:t>
      </w:r>
    </w:p>
    <w:p>
      <w:pPr>
        <w:spacing w:after="0" w:line="218" w:lineRule="exact"/>
        <w:rPr>
          <w:sz w:val="20"/>
          <w:szCs w:val="20"/>
          <w:color w:val="auto"/>
        </w:rPr>
      </w:pPr>
    </w:p>
    <w:p>
      <w:pPr>
        <w:ind w:left="320" w:hanging="313"/>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84,868,774 ordinary shares outstanding as of October 6, 2022.</w:t>
      </w:r>
    </w:p>
    <w:p>
      <w:pPr>
        <w:spacing w:after="0" w:line="21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w:t>
      </w:r>
    </w:p>
    <w:p>
      <w:pPr>
        <w:spacing w:after="0" w:line="217" w:lineRule="exact"/>
        <w:rPr>
          <w:rFonts w:ascii="Times New Roman" w:cs="Times New Roman" w:eastAsia="Times New Roman" w:hAnsi="Times New Roman"/>
          <w:sz w:val="18"/>
          <w:szCs w:val="18"/>
          <w:color w:val="auto"/>
        </w:rPr>
      </w:pPr>
    </w:p>
    <w:p>
      <w:pPr>
        <w:ind w:left="320" w:hanging="313"/>
        <w:spacing w:after="0" w:line="251"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of the Company held directly by Joh. Berenberg, Gossler &amp; Co. KG. However, the general partners of Joh. Berenberg, Gossler &amp; Co. KG, Hendrik Riehmer, David Mortlock and Christian Kühn may be regarded as beneficial owners of the ordinary shares, as they may be deemed to have “comparable control” due to their corporate positions.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0"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8"/>
          <w:szCs w:val="18"/>
          <w:color w:val="auto"/>
        </w:rPr>
        <w:t>The following is a description of related party transactions in excess of $120,000 we have entered into since January 1, 2019, with any members of our management or supervisory board, executive officers, nominees or holders of more than 5% of any class of our voting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Members of the Management Board and the Supervisory Board</w:t>
      </w:r>
    </w:p>
    <w:p>
      <w:pPr>
        <w:spacing w:after="0" w:line="218" w:lineRule="exact"/>
        <w:rPr>
          <w:sz w:val="20"/>
          <w:szCs w:val="20"/>
          <w:color w:val="auto"/>
        </w:rPr>
      </w:pPr>
    </w:p>
    <w:p>
      <w:pPr>
        <w:jc w:val="both"/>
        <w:ind w:right="360" w:firstLine="318"/>
        <w:spacing w:after="0" w:line="261" w:lineRule="auto"/>
        <w:rPr>
          <w:sz w:val="20"/>
          <w:szCs w:val="20"/>
          <w:color w:val="auto"/>
        </w:rPr>
      </w:pPr>
      <w:r>
        <w:rPr>
          <w:rFonts w:ascii="Times New Roman" w:cs="Times New Roman" w:eastAsia="Times New Roman" w:hAnsi="Times New Roman"/>
          <w:sz w:val="18"/>
          <w:szCs w:val="18"/>
          <w:color w:val="auto"/>
        </w:rPr>
        <w:t>Our management board members entered into service agreements with us as discussed in more detail within the “</w:t>
      </w:r>
      <w:r>
        <w:rPr>
          <w:rFonts w:ascii="Times New Roman" w:cs="Times New Roman" w:eastAsia="Times New Roman" w:hAnsi="Times New Roman"/>
          <w:sz w:val="18"/>
          <w:szCs w:val="18"/>
          <w:i w:val="1"/>
          <w:iCs w:val="1"/>
          <w:color w:val="auto"/>
        </w:rPr>
        <w:t>Management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Remuneration and Other Benefits to Management Board Members for the Year Ended December 31, 2021 — Service Agreements</w:t>
      </w:r>
      <w:r>
        <w:rPr>
          <w:rFonts w:ascii="Times New Roman" w:cs="Times New Roman" w:eastAsia="Times New Roman" w:hAnsi="Times New Roman"/>
          <w:sz w:val="18"/>
          <w:szCs w:val="18"/>
          <w:color w:val="auto"/>
        </w:rPr>
        <w:t>” section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Other Related Parties</w:t>
      </w:r>
    </w:p>
    <w:p>
      <w:pPr>
        <w:spacing w:after="0" w:line="220" w:lineRule="exact"/>
        <w:rPr>
          <w:sz w:val="20"/>
          <w:szCs w:val="20"/>
          <w:color w:val="auto"/>
        </w:rPr>
      </w:pPr>
    </w:p>
    <w:p>
      <w:pPr>
        <w:jc w:val="both"/>
        <w:ind w:right="40" w:firstLine="318"/>
        <w:spacing w:after="0" w:line="260" w:lineRule="auto"/>
        <w:rPr>
          <w:sz w:val="20"/>
          <w:szCs w:val="20"/>
          <w:color w:val="auto"/>
        </w:rPr>
      </w:pPr>
      <w:r>
        <w:rPr>
          <w:rFonts w:ascii="Times New Roman" w:cs="Times New Roman" w:eastAsia="Times New Roman" w:hAnsi="Times New Roman"/>
          <w:sz w:val="18"/>
          <w:szCs w:val="18"/>
          <w:color w:val="auto"/>
        </w:rPr>
        <w:t>Some of the key management personnel do participate in the employee participation program. For details on this program, please refer to Notes 5.10 Share-based payment and 10.3 Remuneration based on shares (share-based payment) to our consolidated financial statements included in this prospectus.</w:t>
      </w:r>
    </w:p>
    <w:p>
      <w:pPr>
        <w:spacing w:after="0" w:line="176"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In February 2019, Sono Motors GmbH as borrower and Sono Motors Investment UG, at that time an affiliate of Laurin Hahn and Jona Christians, as lender entered into a loan agreement for an aggregate loan amount of €185 thousand and a term until December 31, 2020. The loan bears interest at a fixed interest rate of 4% per annum. The loan amount and any outstanding interest thereon was repaid in January 2021.</w:t>
      </w:r>
    </w:p>
    <w:p>
      <w:pPr>
        <w:spacing w:after="0" w:line="18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In August 2019, Sono Motors GmbH as borrower and each of eVenture TNS GmbH, ELFH Holding GmbH &amp; Co. KG, two of our shareholders, and wiwi consult GmbH &amp; Co. KG as lender entered into a loan agreement for an aggregate loan amount of €2.5 million, a fixed interest rate of 12% per annum and a term until August 31, 2021. In connection with this loan agreement, Sono Motors GmbH provided certain of its intellectual property rights as collateral to the lenders based on a separate pledge agreement. In December 2020, in connection with a financing round conducted at that time, Sono Motors GmbH and the lenders entered into a settlement agreement pursuant to which, among others, the outstanding loan amounts were redeemed and repaid and the pledged intellectual property rights fully released to Sono Motors GmbH.</w:t>
      </w:r>
    </w:p>
    <w:p>
      <w:pPr>
        <w:spacing w:after="0" w:line="18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In January 2020, Sono Motors GmbH as borrower and Wi Venture GmbH und Co. KG, an affiliate of our shareholder Matthias Willenbacher, as lender entered into a loan agreement for an aggregate loan amount of €10.0 million and a term until December 31, 2023. The loan amount can be drawn subject to the satisfaction of certain conditions. Any loan amount outstanding under the agreement bears interest at a fixed rate of 12% per annum and can generally be repaid at any time, in full or in part, before the expiration of the agreement’s term. The loan agreement grants Wi Venture GmbH und Co. KG the right to convert any outstanding loan amount or interest payment under the agreement into shares in Sono Motors GmbH based on a 25% discount on the relevant pre-money valuation, if Sono Motors GmbH implements a capital increase before the repayment of any and all outstanding payment claims of Wi Venture GmbH und Co. KG under the loan agreement. We have not yet drawn any amount under the loan agreement.</w:t>
      </w:r>
    </w:p>
    <w:p>
      <w:pPr>
        <w:spacing w:after="0" w:line="185"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Our shareholder Matthias Willenbacher has placed 30 reservations for our vehicles with net advance payments amounting to a total of €0.1 million.</w:t>
      </w:r>
    </w:p>
    <w:p>
      <w:pPr>
        <w:spacing w:after="0" w:line="164"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8"/>
          <w:szCs w:val="18"/>
          <w:color w:val="auto"/>
        </w:rPr>
        <w:t>In July 2022, we unveiled our Sion SVVs. The unveiling event took place at Wannda e.V. in Munich, which is a registered association (</w:t>
      </w:r>
      <w:r>
        <w:rPr>
          <w:rFonts w:ascii="Times New Roman" w:cs="Times New Roman" w:eastAsia="Times New Roman" w:hAnsi="Times New Roman"/>
          <w:sz w:val="18"/>
          <w:szCs w:val="18"/>
          <w:i w:val="1"/>
          <w:iCs w:val="1"/>
          <w:color w:val="auto"/>
        </w:rPr>
        <w:t>eingetragener Verein</w:t>
      </w:r>
      <w:r>
        <w:rPr>
          <w:rFonts w:ascii="Times New Roman" w:cs="Times New Roman" w:eastAsia="Times New Roman" w:hAnsi="Times New Roman"/>
          <w:sz w:val="18"/>
          <w:szCs w:val="18"/>
          <w:color w:val="auto"/>
        </w:rPr>
        <w:t>) in which Laurin Hahn’s brother is a member and in which Laurin Hahn was and may still be a member. We paid Wannda e.V. €0.1 million for rent and services in connection with the unveiling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ordinary shares of Sono Motors Finance B.V. In addition, the sole issued and outstanding ordinary share in Sono Motors Finance B.V. at that time, which was held by Sono Motors GmbH, was canceled (</w:t>
      </w:r>
      <w:r>
        <w:rPr>
          <w:rFonts w:ascii="Times New Roman" w:cs="Times New Roman" w:eastAsia="Times New Roman" w:hAnsi="Times New Roman"/>
          <w:sz w:val="18"/>
          <w:szCs w:val="18"/>
          <w:i w:val="1"/>
          <w:iCs w:val="1"/>
          <w:color w:val="auto"/>
        </w:rPr>
        <w:t>ingetrokken</w:t>
      </w:r>
      <w:r>
        <w:rPr>
          <w:rFonts w:ascii="Times New Roman" w:cs="Times New Roman" w:eastAsia="Times New Roman" w:hAnsi="Times New Roman"/>
          <w:sz w:val="18"/>
          <w:szCs w:val="18"/>
          <w:color w:val="auto"/>
        </w:rPr>
        <w:t>). As a result, Sono Motors GmbH became a wholly-owned subsidiary of Sono Motors Finance B.V. and the then- existing shareholders of Sono Motors GmbH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changed its legal name from Sono Motors Finance B.V. to Sono Group N.V. A portion of the newly issued ordinary shares of Sono Group N.V. was also converted into high voting shares in the share capital of Sono Group N.V. As of completion of the corporate reorganization, the shareholders of Sono Group N.V. held an aggregate of 31,068,000 ordinary shares of Sono Group N.V. (share number does not reflect issuance of additional shares to all of our existing shareholders, replicating the effect of a share split, which took place immediately prior to pricing of our initial public offering).</w:t>
      </w:r>
    </w:p>
    <w:p>
      <w:pPr>
        <w:spacing w:after="0" w:line="193"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Our affairs are governed by the provisions of our articles of association and internal rules, regulations and policies, as amended and restated from time to time, and by the provisions of applicable Dutch law.</w:t>
      </w:r>
    </w:p>
    <w:p>
      <w:pPr>
        <w:spacing w:after="0" w:line="162" w:lineRule="exact"/>
        <w:rPr>
          <w:sz w:val="20"/>
          <w:szCs w:val="20"/>
          <w:color w:val="auto"/>
        </w:rPr>
      </w:pPr>
    </w:p>
    <w:p>
      <w:pPr>
        <w:ind w:right="480" w:firstLine="318"/>
        <w:spacing w:after="0" w:line="276" w:lineRule="auto"/>
        <w:rPr>
          <w:sz w:val="20"/>
          <w:szCs w:val="20"/>
          <w:color w:val="auto"/>
        </w:rPr>
      </w:pPr>
      <w:r>
        <w:rPr>
          <w:rFonts w:ascii="Times New Roman" w:cs="Times New Roman" w:eastAsia="Times New Roman" w:hAnsi="Times New Roman"/>
          <w:sz w:val="18"/>
          <w:szCs w:val="18"/>
          <w:color w:val="auto"/>
        </w:rPr>
        <w:t>We are registered with the Trade Register of the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number 80683568. Our corporate seat is in Amsterdam, the Netherlands, and our registered office is in Munich, Germany.</w:t>
      </w:r>
    </w:p>
    <w:p>
      <w:pPr>
        <w:spacing w:after="0" w:line="163"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The following is a summary of material information concerning our share capital and our articles of association. The summaries of our articles of association as set forth herein are qualified in their entirety by reference to the full text of our articles of association. This summary does not constitute legal advice regarding those matters and should not be regarded as such.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0" w:lineRule="exact"/>
        <w:rPr>
          <w:sz w:val="20"/>
          <w:szCs w:val="20"/>
          <w:color w:val="auto"/>
        </w:rPr>
      </w:pPr>
    </w:p>
    <w:p>
      <w:pPr>
        <w:ind w:right="540" w:firstLine="318"/>
        <w:spacing w:after="0" w:line="304" w:lineRule="auto"/>
        <w:rPr>
          <w:sz w:val="20"/>
          <w:szCs w:val="20"/>
          <w:color w:val="auto"/>
        </w:rPr>
      </w:pPr>
      <w:r>
        <w:rPr>
          <w:rFonts w:ascii="Times New Roman" w:cs="Times New Roman" w:eastAsia="Times New Roman" w:hAnsi="Times New Roman"/>
          <w:sz w:val="17"/>
          <w:szCs w:val="17"/>
          <w:color w:val="auto"/>
        </w:rPr>
        <w:t>As of the date of this prospectus, we have a subscribed capital in the amount of €9,592,126.44 which is divided into 84,868,744 ordinary shares, each with a nominal value of €0.06, and 3,000,000 high voting shares, each with a nominal value of €1.50.</w:t>
      </w:r>
    </w:p>
    <w:p>
      <w:pPr>
        <w:spacing w:after="0" w:line="142"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Under Dutch law, our authorized share capital is the maximum capital that we may issue without amending our articles of association. An amendment of our articles of association would require a resolution of the general meeting upon proposal by the management board with the approval of the supervisory board. As of the execution of our deed of conversion and amendment as part of the corporate reorganization, our authorized share capital amounts to €25,200,000, divided into 320,000,000 ordinary shares, each with a nominal value of €0.06, and 4,000,000 high voting shares, each with a nominal value of €1.50. Upon an increase of our issued share capital to at least €25,000,000, our authorized share capital will automatically increase to €102,000,000, divided into 1,500,000,000 ordinary shares, each with a nominal value of €0.06, and 8,000,000 high voting shares, each with a nominal value of €1.50.</w:t>
      </w:r>
    </w:p>
    <w:p>
      <w:pPr>
        <w:spacing w:after="0" w:line="189"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Our high voting shares carry the same economic rights entitlements as our ordinary shares. The high voting shares carry different voting rights than the ordinary shares, proportionate to the respective nominal value: for each high voting share, 25 votes can be exercised in the general meeting, whereas for each ordinary share one vote can be exercised in the general meeting. As a matter of Dutch law, preemptive rights for the holders of our ordinary shares and our high voting shares are linked to the nominal value of their shares, which implies that each high voting share carries a preemptive right representing 25 times the preemptive right attached to each ordinary share. Pursuant to our articles of association, each holder of high voting shares can convert any number of high voting shares held by a shareholder into ordinary shares as described below. A holder of ordinary shares cannot convert its ordinary shares into high voting shares under our articles of association.</w:t>
      </w:r>
    </w:p>
    <w:p>
      <w:pPr>
        <w:spacing w:after="0" w:line="185"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8"/>
          <w:szCs w:val="18"/>
          <w:color w:val="auto"/>
        </w:rPr>
        <w:t>Upon receipt of a request for conversion of high voting shares into ordinary shares, the management board shall resolve to convert the relevant number of high voting shares into ordinary shares in a 1:25 ratio. A management board member who holds high voting shares that are the subject of the conversion request may generally participate in the decision making process of the management board and is only precluded therefrom, if the personal interests of such management board member in such decision conflict, directly or indirectly, with the interests of the Company and its business. The supervisory board shall resolve on the conversion request, if all</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management board members are precluded from the decision making process concerning a conversion request due to such conflicts of interest. Promptly following a conversion, the holder of high voting shares that made the conversion request shall be obligated to transfer 24 out of every 25 ordinary shares so received to us for no consideration, which will be canceled afterwards with the effect of a 1:1 conversion ratio. The conversion mechanism is structured in this manner in order to avoid a two- month waiting period which would be required under Dutch law if high voting shares were converted into ordinary shares of an actual 1:1 ratio. Neither the management board nor the Company is required to effect a conversion of high voting shares (a) if the conversion request does not comply with the specifications and requirements set out in our articles of association or if the management board reasonably believes that the information included in such request is incorrect or incomplete or (b) to the extent that we would not be permitted under mandatory Dutch law to acquire the relevant number of ordinary shares in connection with such conversion.</w:t>
      </w:r>
    </w:p>
    <w:p>
      <w:pPr>
        <w:spacing w:after="0" w:line="190"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Initial settlement of our ordinary shares issued in this offering will take place on the closing date of this offering through The Depository Trust Company (“DTC”), in accordance with its customary settlement procedures for equity securities. Each person owning ordinary shares held through DTC must rely on the procedures thereof and on institutions that have accounts therewith to exercise any rights of a holder of the ordinary shares.</w:t>
      </w:r>
    </w:p>
    <w:p>
      <w:pPr>
        <w:spacing w:after="0" w:line="182"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Our articles of association provide that, for as long as any of our ordinary shares are admitted to trading on Nasdaq, the New York Stock Exchange or on any other regulated stock exchange operating in the United States, the laws of the State of New York shall apply to the property law aspects of the ordinary shares reflected in the register administered by our transfer agent and New York State law will determine, for example, how our ordinary shares are transferred or encumbered. However, certain other aspects relating to our ordinary shares remain subject to Dutch law and Dutch law continues to determine, for example, how new shares are issued.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main rights of holders of our ordinary shares:</w:t>
      </w:r>
    </w:p>
    <w:p>
      <w:pPr>
        <w:spacing w:after="0" w:line="218" w:lineRule="exact"/>
        <w:rPr>
          <w:sz w:val="20"/>
          <w:szCs w:val="20"/>
          <w:color w:val="auto"/>
        </w:rPr>
      </w:pPr>
    </w:p>
    <w:p>
      <w:pPr>
        <w:ind w:left="680" w:right="80" w:hanging="328"/>
        <w:spacing w:after="0" w:line="274" w:lineRule="auto"/>
        <w:tabs>
          <w:tab w:leader="none" w:pos="6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holder of ordinary shares is entitled to one vote per share on all matters to be voted on by shareholders generally, including the appointment of management board members and supervisory board members;</w:t>
      </w:r>
    </w:p>
    <w:p>
      <w:pPr>
        <w:spacing w:after="0" w:line="164" w:lineRule="exact"/>
        <w:rPr>
          <w:rFonts w:ascii="Times New Roman" w:cs="Times New Roman" w:eastAsia="Times New Roman" w:hAnsi="Times New Roman"/>
          <w:sz w:val="18"/>
          <w:szCs w:val="18"/>
          <w:color w:val="231F20"/>
        </w:rPr>
      </w:pPr>
    </w:p>
    <w:p>
      <w:pPr>
        <w:ind w:left="680" w:right="40" w:hanging="328"/>
        <w:spacing w:after="0" w:line="274" w:lineRule="auto"/>
        <w:tabs>
          <w:tab w:leader="none" w:pos="6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are no cumulative voting rights (but our high voting shares do carry 25 votes each, compared to one vote each per ordinary share);</w:t>
      </w:r>
    </w:p>
    <w:p>
      <w:pPr>
        <w:spacing w:after="0" w:line="164" w:lineRule="exact"/>
        <w:rPr>
          <w:rFonts w:ascii="Times New Roman" w:cs="Times New Roman" w:eastAsia="Times New Roman" w:hAnsi="Times New Roman"/>
          <w:sz w:val="18"/>
          <w:szCs w:val="18"/>
          <w:color w:val="231F20"/>
        </w:rPr>
      </w:pPr>
    </w:p>
    <w:p>
      <w:pPr>
        <w:ind w:left="680" w:hanging="328"/>
        <w:spacing w:after="0" w:line="274" w:lineRule="auto"/>
        <w:tabs>
          <w:tab w:leader="none" w:pos="6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holders of our ordinary shares are entitled to dividends and other distributions as may be declared from time to time by us out of funds legally available for that purpose, if any;</w:t>
      </w:r>
    </w:p>
    <w:p>
      <w:pPr>
        <w:spacing w:after="0" w:line="164" w:lineRule="exact"/>
        <w:rPr>
          <w:rFonts w:ascii="Times New Roman" w:cs="Times New Roman" w:eastAsia="Times New Roman" w:hAnsi="Times New Roman"/>
          <w:sz w:val="18"/>
          <w:szCs w:val="18"/>
          <w:color w:val="231F20"/>
        </w:rPr>
      </w:pPr>
    </w:p>
    <w:p>
      <w:pPr>
        <w:ind w:left="680" w:right="40" w:hanging="328"/>
        <w:spacing w:after="0" w:line="274" w:lineRule="auto"/>
        <w:tabs>
          <w:tab w:leader="none" w:pos="6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upon our liquidation, dissolution or winding-up, the holders of ordinary shares will be entitled to share ratably in the distribution of all of our assets remaining available for distribution after satisfaction of all our liabilities; and</w:t>
      </w:r>
    </w:p>
    <w:p>
      <w:pPr>
        <w:spacing w:after="0" w:line="164" w:lineRule="exact"/>
        <w:rPr>
          <w:rFonts w:ascii="Times New Roman" w:cs="Times New Roman" w:eastAsia="Times New Roman" w:hAnsi="Times New Roman"/>
          <w:sz w:val="18"/>
          <w:szCs w:val="18"/>
          <w:color w:val="231F20"/>
        </w:rPr>
      </w:pPr>
    </w:p>
    <w:p>
      <w:pPr>
        <w:ind w:left="680" w:right="180" w:hanging="328"/>
        <w:spacing w:after="0" w:line="260" w:lineRule="auto"/>
        <w:tabs>
          <w:tab w:leader="none" w:pos="6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holders of ordinary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Register</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Pursuant to Dutch law and our articles of association, we must keep our shareholders’ register accurate and current. The management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keeps our shareholders’ register and records names and addresses of all holders of registered shares, showing the date on which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were acquired, the date of the acknowledgement by or notification of us as well as the amount paid on each share. The register also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the names and addresses of those with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on registered shares belonging to another or a pledge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pandrecht</w:t>
      </w:r>
      <w:r>
        <w:rPr>
          <w:rFonts w:ascii="Times New Roman" w:cs="Times New Roman" w:eastAsia="Times New Roman" w:hAnsi="Times New Roman"/>
          <w:sz w:val="17"/>
          <w:szCs w:val="17"/>
          <w:color w:val="auto"/>
        </w:rPr>
        <w:t>) in respect of such shares. The ordinary shares offered in this offering will be held through DTC, therefore DTC or its nominee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be recorded in the shareholders’ register as the holder of those ordinary shares. All shares are in registered form (</w:t>
      </w:r>
      <w:r>
        <w:rPr>
          <w:rFonts w:ascii="Times New Roman" w:cs="Times New Roman" w:eastAsia="Times New Roman" w:hAnsi="Times New Roman"/>
          <w:sz w:val="17"/>
          <w:szCs w:val="17"/>
          <w:i w:val="1"/>
          <w:iCs w:val="1"/>
          <w:color w:val="auto"/>
        </w:rPr>
        <w:t>op naam</w:t>
      </w:r>
      <w:r>
        <w:rPr>
          <w:rFonts w:ascii="Times New Roman" w:cs="Times New Roman" w:eastAsia="Times New Roman" w:hAnsi="Times New Roman"/>
          <w:sz w:val="17"/>
          <w:szCs w:val="17"/>
          <w:color w:val="auto"/>
        </w:rPr>
        <w:t>), provided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our management board may resolve that one or more ordinary shares are in bearer form (</w:t>
      </w:r>
      <w:r>
        <w:rPr>
          <w:rFonts w:ascii="Times New Roman" w:cs="Times New Roman" w:eastAsia="Times New Roman" w:hAnsi="Times New Roman"/>
          <w:sz w:val="17"/>
          <w:szCs w:val="17"/>
          <w:i w:val="1"/>
          <w:iCs w:val="1"/>
          <w:color w:val="auto"/>
        </w:rPr>
        <w:t>aan toonder</w:t>
      </w:r>
      <w:r>
        <w:rPr>
          <w:rFonts w:ascii="Times New Roman" w:cs="Times New Roman" w:eastAsia="Times New Roman" w:hAnsi="Times New Roman"/>
          <w:sz w:val="17"/>
          <w:szCs w:val="17"/>
          <w:color w:val="auto"/>
        </w:rPr>
        <w:t>) if certain requirements are met.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share certificates (</w:t>
      </w:r>
      <w:r>
        <w:rPr>
          <w:rFonts w:ascii="Times New Roman" w:cs="Times New Roman" w:eastAsia="Times New Roman" w:hAnsi="Times New Roman"/>
          <w:sz w:val="18"/>
          <w:szCs w:val="18"/>
          <w:i w:val="1"/>
          <w:iCs w:val="1"/>
          <w:color w:val="auto"/>
        </w:rPr>
        <w:t>aandeelbewijzen</w:t>
      </w:r>
      <w:r>
        <w:rPr>
          <w:rFonts w:ascii="Times New Roman" w:cs="Times New Roman" w:eastAsia="Times New Roman" w:hAnsi="Times New Roman"/>
          <w:sz w:val="18"/>
          <w:szCs w:val="18"/>
          <w:color w:val="auto"/>
        </w:rPr>
        <w:t>) for registered shares in such form as may be approved by our management board.</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21" w:right="11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Objectives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our articles of association, our main corporate objectives are:</w:t>
      </w:r>
    </w:p>
    <w:p>
      <w:pPr>
        <w:spacing w:after="0" w:line="218" w:lineRule="exact"/>
        <w:rPr>
          <w:sz w:val="20"/>
          <w:szCs w:val="20"/>
          <w:color w:val="auto"/>
        </w:rPr>
      </w:pPr>
    </w:p>
    <w:p>
      <w:pPr>
        <w:ind w:left="680" w:hanging="328"/>
        <w:spacing w:after="0"/>
        <w:tabs>
          <w:tab w:leader="none" w:pos="6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design, development, manufacturing and production of electric vehicles, including with solar integration technology;</w:t>
      </w:r>
    </w:p>
    <w:p>
      <w:pPr>
        <w:spacing w:after="0" w:line="217" w:lineRule="exact"/>
        <w:rPr>
          <w:rFonts w:ascii="Times New Roman" w:cs="Times New Roman" w:eastAsia="Times New Roman" w:hAnsi="Times New Roman"/>
          <w:sz w:val="18"/>
          <w:szCs w:val="18"/>
          <w:color w:val="231F20"/>
        </w:rPr>
      </w:pPr>
    </w:p>
    <w:p>
      <w:pPr>
        <w:ind w:left="680" w:right="620" w:hanging="328"/>
        <w:spacing w:after="0" w:line="274" w:lineRule="auto"/>
        <w:tabs>
          <w:tab w:leader="none" w:pos="6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design, development, manufacturing, production and licensing of solar panels for mobility applications and consumer products;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design, development, licensing and operation of software-based mobility services;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develop electronic applications;</w:t>
      </w:r>
    </w:p>
    <w:p>
      <w:pPr>
        <w:spacing w:after="0" w:line="217" w:lineRule="exact"/>
        <w:rPr>
          <w:rFonts w:ascii="Times New Roman" w:cs="Times New Roman" w:eastAsia="Times New Roman" w:hAnsi="Times New Roman"/>
          <w:sz w:val="18"/>
          <w:szCs w:val="18"/>
          <w:color w:val="231F20"/>
        </w:rPr>
      </w:pPr>
    </w:p>
    <w:p>
      <w:pPr>
        <w:ind w:left="680" w:right="240" w:hanging="328"/>
        <w:spacing w:after="0" w:line="274" w:lineRule="auto"/>
        <w:tabs>
          <w:tab w:leader="none" w:pos="6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incorporate, to participate in, to finance, to hold any other interest in and to conduct the management or supervision of other entities, companies, partnerships and businesses;</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acquire, to manage, to invest, to exploit, to encumber and to dispose of assets and liabilities;</w:t>
      </w:r>
    </w:p>
    <w:p>
      <w:pPr>
        <w:spacing w:after="0" w:line="217" w:lineRule="exact"/>
        <w:rPr>
          <w:rFonts w:ascii="Times New Roman" w:cs="Times New Roman" w:eastAsia="Times New Roman" w:hAnsi="Times New Roman"/>
          <w:sz w:val="18"/>
          <w:szCs w:val="18"/>
          <w:color w:val="231F20"/>
        </w:rPr>
      </w:pPr>
    </w:p>
    <w:p>
      <w:pPr>
        <w:ind w:left="680" w:right="240" w:hanging="328"/>
        <w:spacing w:after="0" w:line="274" w:lineRule="auto"/>
        <w:tabs>
          <w:tab w:leader="none" w:pos="6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furnish guarantees, to provide security, to warrant performance in any other way and to assume liability, whether jointly and severally or otherwise, in respect of obligations of group companies or other parties; and</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do anything which, in the widest sense, is connected with or may be conducive to the objects described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220"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As described in article 4 of our articles of association, the planet, humankind and society are important stakeholders of us and the highest principle pursued by us as part of our objects is the protection of the environment, nature and humankind. This principle shall form the foundation of the actions of our Company and the decisions of our management board and supervisory board. On the basis of that premise:</w:t>
      </w:r>
    </w:p>
    <w:p>
      <w:pPr>
        <w:spacing w:after="0" w:line="182" w:lineRule="exact"/>
        <w:rPr>
          <w:sz w:val="20"/>
          <w:szCs w:val="20"/>
          <w:color w:val="auto"/>
        </w:rPr>
      </w:pPr>
    </w:p>
    <w:p>
      <w:pPr>
        <w:ind w:left="680" w:right="20" w:hanging="328"/>
        <w:spacing w:after="0" w:line="260" w:lineRule="auto"/>
        <w:tabs>
          <w:tab w:leader="none" w:pos="68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board shall monitor for and, to the extent possible and practicable, is expected to favor environmentally-friendly alternatives for existing operations of the Company and its subsidiaries, in particular if those alternatives are more efficient in terms of resource consumption;</w:t>
      </w:r>
    </w:p>
    <w:p>
      <w:pPr>
        <w:spacing w:after="0" w:line="176" w:lineRule="exact"/>
        <w:rPr>
          <w:rFonts w:ascii="Times New Roman" w:cs="Times New Roman" w:eastAsia="Times New Roman" w:hAnsi="Times New Roman"/>
          <w:sz w:val="18"/>
          <w:szCs w:val="18"/>
          <w:color w:val="231F20"/>
        </w:rPr>
      </w:pPr>
    </w:p>
    <w:p>
      <w:pPr>
        <w:ind w:left="680" w:right="180" w:hanging="328"/>
        <w:spacing w:after="0" w:line="274" w:lineRule="auto"/>
        <w:tabs>
          <w:tab w:leader="none" w:pos="68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additional costs or other increased expenditures shall not constitute a decisive factor when deciding whether or not to pursue an environmentally superior alternative for existing operations of the Company and its subsidiaries;</w:t>
      </w:r>
    </w:p>
    <w:p>
      <w:pPr>
        <w:spacing w:after="0" w:line="164" w:lineRule="exact"/>
        <w:rPr>
          <w:rFonts w:ascii="Times New Roman" w:cs="Times New Roman" w:eastAsia="Times New Roman" w:hAnsi="Times New Roman"/>
          <w:sz w:val="18"/>
          <w:szCs w:val="18"/>
          <w:color w:val="231F20"/>
        </w:rPr>
      </w:pPr>
    </w:p>
    <w:p>
      <w:pPr>
        <w:ind w:left="680" w:right="120" w:hanging="328"/>
        <w:spacing w:after="0" w:line="274" w:lineRule="auto"/>
        <w:tabs>
          <w:tab w:leader="none" w:pos="68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products designed, developed, manufactured or produced by the Company and its subsidiaries should be durable, recyclable and sustainable; and</w:t>
      </w:r>
    </w:p>
    <w:p>
      <w:pPr>
        <w:spacing w:after="0" w:line="164" w:lineRule="exact"/>
        <w:rPr>
          <w:rFonts w:ascii="Times New Roman" w:cs="Times New Roman" w:eastAsia="Times New Roman" w:hAnsi="Times New Roman"/>
          <w:sz w:val="18"/>
          <w:szCs w:val="18"/>
          <w:color w:val="231F20"/>
        </w:rPr>
      </w:pPr>
    </w:p>
    <w:p>
      <w:pPr>
        <w:ind w:left="680" w:right="40" w:hanging="328"/>
        <w:spacing w:after="0" w:line="274" w:lineRule="auto"/>
        <w:tabs>
          <w:tab w:leader="none" w:pos="68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board and supervisory board may let the interests of the planet, humankind and society outweigh the interests of other stakeholders, provided that the interests of the latter stakeholders are not unnecessarily or disproportionately harmed.</w:t>
      </w:r>
    </w:p>
    <w:p>
      <w:pPr>
        <w:spacing w:after="0" w:line="164"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A management board member or supervisory board member who repeatedly and consistently violates these principles shall be considered to have breached his or her statutory duty to act in the best interests of the Company and its business.</w:t>
      </w:r>
    </w:p>
    <w:p>
      <w:pPr>
        <w:spacing w:after="0" w:line="16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A resolution to amend the text or purport of these provisions of our articles of association shall require a unanimous vote in a general meeting where the entire issued share capital is represented.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Rights to Own Securities</w:t>
      </w:r>
    </w:p>
    <w:p>
      <w:pPr>
        <w:spacing w:after="0" w:line="220"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Our ordinary shares may be issued to individuals, corporations, trusts, estates of deceased individuals, partnerships and unincorporated associations of persons. Our articles of association contain no limitation on the rights to own our shares and no limitation on the rights of nonresidents of The Netherlands or foreign shareholders to hold or exercise voting rights.</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220"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Under Dutch law, management board members and supervisory board members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management board members and supervisory board members (and other current and former officers and employees as designated by our management board, subject to approval by our supervisory board). No indemnification shall be given to an indemnified person:</w:t>
      </w:r>
    </w:p>
    <w:p>
      <w:pPr>
        <w:spacing w:after="0" w:line="189" w:lineRule="exact"/>
        <w:rPr>
          <w:sz w:val="20"/>
          <w:szCs w:val="20"/>
          <w:color w:val="auto"/>
        </w:rPr>
      </w:pPr>
    </w:p>
    <w:p>
      <w:pPr>
        <w:ind w:left="700" w:right="80" w:hanging="348"/>
        <w:spacing w:after="0" w:line="255" w:lineRule="auto"/>
        <w:tabs>
          <w:tab w:leader="none" w:pos="70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81" w:lineRule="exact"/>
        <w:rPr>
          <w:rFonts w:ascii="Times New Roman" w:cs="Times New Roman" w:eastAsia="Times New Roman" w:hAnsi="Times New Roman"/>
          <w:sz w:val="18"/>
          <w:szCs w:val="18"/>
          <w:color w:val="231F20"/>
        </w:rPr>
      </w:pPr>
    </w:p>
    <w:p>
      <w:pPr>
        <w:ind w:left="700" w:hanging="348"/>
        <w:spacing w:after="0" w:line="304" w:lineRule="auto"/>
        <w:tabs>
          <w:tab w:leader="none" w:pos="70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41" w:lineRule="exact"/>
        <w:rPr>
          <w:rFonts w:ascii="Times New Roman" w:cs="Times New Roman" w:eastAsia="Times New Roman" w:hAnsi="Times New Roman"/>
          <w:sz w:val="17"/>
          <w:szCs w:val="17"/>
          <w:color w:val="231F20"/>
        </w:rPr>
      </w:pPr>
    </w:p>
    <w:p>
      <w:pPr>
        <w:ind w:left="700" w:hanging="348"/>
        <w:spacing w:after="0" w:line="255" w:lineRule="auto"/>
        <w:tabs>
          <w:tab w:leader="none" w:pos="70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management board or pursuant to insurance taken out by the company for the benefit of such indemnified person; and</w:t>
      </w:r>
    </w:p>
    <w:p>
      <w:pPr>
        <w:spacing w:after="0" w:line="181" w:lineRule="exact"/>
        <w:rPr>
          <w:rFonts w:ascii="Times New Roman" w:cs="Times New Roman" w:eastAsia="Times New Roman" w:hAnsi="Times New Roman"/>
          <w:sz w:val="18"/>
          <w:szCs w:val="18"/>
          <w:color w:val="231F20"/>
        </w:rPr>
      </w:pPr>
    </w:p>
    <w:p>
      <w:pPr>
        <w:ind w:left="700" w:right="240" w:hanging="348"/>
        <w:spacing w:after="0" w:line="274" w:lineRule="auto"/>
        <w:tabs>
          <w:tab w:leader="none" w:pos="70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financial losses, damages or expenses incurred in connection with a settlement of any proceedings effected without the company’s prior consent.</w:t>
      </w:r>
    </w:p>
    <w:p>
      <w:pPr>
        <w:spacing w:after="0" w:line="164" w:lineRule="exact"/>
        <w:rPr>
          <w:sz w:val="20"/>
          <w:szCs w:val="20"/>
          <w:color w:val="auto"/>
        </w:rPr>
      </w:pPr>
    </w:p>
    <w:p>
      <w:pPr>
        <w:ind w:right="160" w:firstLine="353"/>
        <w:spacing w:after="0" w:line="274" w:lineRule="auto"/>
        <w:rPr>
          <w:sz w:val="20"/>
          <w:szCs w:val="20"/>
          <w:color w:val="auto"/>
        </w:rPr>
      </w:pPr>
      <w:r>
        <w:rPr>
          <w:rFonts w:ascii="Times New Roman" w:cs="Times New Roman" w:eastAsia="Times New Roman" w:hAnsi="Times New Roman"/>
          <w:sz w:val="18"/>
          <w:szCs w:val="18"/>
          <w:color w:val="auto"/>
        </w:rPr>
        <w:t>Under our articles of association, our management board may stipulate additional terms, conditions and restrictions in relation to the indemnification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Meeting</w:t>
      </w:r>
    </w:p>
    <w:p>
      <w:pPr>
        <w:spacing w:after="0" w:line="220"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General meetings may be held in Amsterdam, Arnhem, Assen, The Hague, Haarlem, ‘s-Hertogenbosch, Groningen, Leeuwarden, Lelystad, Maastricht, Middelburg, Rotterdam, Schiphol (</w:t>
      </w:r>
      <w:r>
        <w:rPr>
          <w:rFonts w:ascii="Times New Roman" w:cs="Times New Roman" w:eastAsia="Times New Roman" w:hAnsi="Times New Roman"/>
          <w:sz w:val="18"/>
          <w:szCs w:val="18"/>
          <w:i w:val="1"/>
          <w:iCs w:val="1"/>
          <w:color w:val="auto"/>
        </w:rPr>
        <w:t>Haarlemmermeer</w:t>
      </w:r>
      <w:r>
        <w:rPr>
          <w:rFonts w:ascii="Times New Roman" w:cs="Times New Roman" w:eastAsia="Times New Roman" w:hAnsi="Times New Roman"/>
          <w:sz w:val="18"/>
          <w:szCs w:val="18"/>
          <w:color w:val="auto"/>
        </w:rPr>
        <w:t>), Utrecht or Zwolle, all in The Netherlands. The annual general meeting must be held within six months of the end of each financial year. Additional extraordinary general meetings may also be held whenever considered appropriate by our management board or the supervisory board and shall be held within three months after our management board has considered it to be likely that our equity has decreased to an amount equal to or lower than half of its paid-in and called-up share capital, in order to discuss the measures to be taken if so required.</w:t>
      </w:r>
    </w:p>
    <w:p>
      <w:pPr>
        <w:spacing w:after="0" w:line="187"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Pursuant to Dutch law, one or more shareholders or others with meeting rights under Dutch law that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 board nor our supervisory board has taken the necessary steps so that the general meeting could be held within six weeks after the request.</w:t>
      </w:r>
    </w:p>
    <w:p>
      <w:pPr>
        <w:spacing w:after="0" w:line="189"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by electronic means and received by us at least 60 days before the day of the meeting. No resolutions shall be adopted on items other than those that have been included in the agenda.</w:t>
      </w:r>
    </w:p>
    <w:p>
      <w:pPr>
        <w:spacing w:after="0" w:line="164"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w:t>
      </w:r>
    </w:p>
    <w:p>
      <w:pPr>
        <w:spacing w:after="0" w:line="2" w:lineRule="exact"/>
        <w:rPr>
          <w:sz w:val="20"/>
          <w:szCs w:val="20"/>
          <w:color w:val="auto"/>
        </w:rPr>
      </w:pPr>
    </w:p>
    <w:p>
      <w:pPr>
        <w:ind w:right="520" w:firstLine="7"/>
        <w:spacing w:after="0" w:line="270" w:lineRule="auto"/>
        <w:tabs>
          <w:tab w:leader="none" w:pos="24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70"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Moreover, our management board, with the approval of our supervisory board, can invoke a cooling- 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99" w:lineRule="exact"/>
        <w:rPr>
          <w:sz w:val="20"/>
          <w:szCs w:val="20"/>
          <w:color w:val="auto"/>
        </w:rPr>
      </w:pPr>
    </w:p>
    <w:p>
      <w:pPr>
        <w:ind w:left="680" w:right="60" w:hanging="328"/>
        <w:spacing w:after="0" w:line="260" w:lineRule="auto"/>
        <w:tabs>
          <w:tab w:leader="none" w:pos="68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76" w:lineRule="exact"/>
        <w:rPr>
          <w:rFonts w:ascii="Times New Roman" w:cs="Times New Roman" w:eastAsia="Times New Roman" w:hAnsi="Times New Roman"/>
          <w:sz w:val="18"/>
          <w:szCs w:val="18"/>
          <w:color w:val="231F20"/>
        </w:rPr>
      </w:pPr>
    </w:p>
    <w:p>
      <w:pPr>
        <w:ind w:left="680" w:right="60" w:hanging="328"/>
        <w:spacing w:after="0" w:line="274" w:lineRule="auto"/>
        <w:tabs>
          <w:tab w:leader="none" w:pos="68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board cannot reasonably believe that a continuation of the cooling-off period would contribute to careful policy-making; or</w:t>
      </w:r>
    </w:p>
    <w:p>
      <w:pPr>
        <w:spacing w:after="0" w:line="164" w:lineRule="exact"/>
        <w:rPr>
          <w:rFonts w:ascii="Times New Roman" w:cs="Times New Roman" w:eastAsia="Times New Roman" w:hAnsi="Times New Roman"/>
          <w:sz w:val="18"/>
          <w:szCs w:val="18"/>
          <w:color w:val="231F20"/>
        </w:rPr>
      </w:pPr>
    </w:p>
    <w:p>
      <w:pPr>
        <w:ind w:left="680" w:right="300" w:hanging="328"/>
        <w:spacing w:after="0" w:line="260" w:lineRule="auto"/>
        <w:tabs>
          <w:tab w:leader="none" w:pos="68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6"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The general meeting is presided over by the chairperson of the supervisory board. If no chairperson has been elected or if he or she is not present at the meeting, the general meeting shall be presided over by another supervisory board member present at the meeting. If no supervisory board member is present, the meeting shall be presided over by one of our CEOs. If no CEO has been elected or if they are not present at the meeting, the general meeting shall be presided over by another management board member present at the meeting. If no management board member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Management board members and supervisory board members may always attend a general meeting. In these meetings, they have an advisory vote. The chairperson of the meeting may decide at his or her discretion to admit other persons to the meeting.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All shareholders and others with meeting rights under Dutch law are authorized to attend the general meeting, to address the meeting and, insofar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Each ordinary share confers the right on the holder to cast one vote at the general meeting and each high voting share confers the right on the holder to cast 25 votes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7"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Decisions of the general meeting are taken by a simple majority of votes cast, except where Dutch law or our articles of association provide for a qualified majority or unanimity. Our articles of association provide that, subject to any provision of mandatory Dutch law and any higher quorum requirement stipulated by our articles of association, if we become subject to a binding quorum requirement with respect to resolutions of our general meeting under applicable securities laws or listing rules, then such resolutions shall be subject to such quorum.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and Supervisory Board Members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Management Board and Supervisory Board Member</w:t>
      </w:r>
    </w:p>
    <w:p>
      <w:pPr>
        <w:spacing w:after="0" w:line="22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Under our articles of association, each of Laurin Hahn and Jona Christians, two of our founders, as long as they hold, individually, at least 5% of our voting rights, can each make a binding nomination for the appointment of one supervisory board member. These supervisory board members can only be appointed by the general meeting upon such binding nominations. In addition, under our articles of association, our management board members and our other supervisory board members are appointed by the general meeting upon binding nomination by our supervisory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supervisory board, Laurin Hahn or Jona Christians, as applicable, shall make a new nomination.</w:t>
      </w:r>
    </w:p>
    <w:p>
      <w:pPr>
        <w:spacing w:after="0" w:line="185"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Our supervisory board has adopted a diversity policy for the composition of our management board and our supervisory board, as well as a profile for the composition of the supervisory board. The supervisory board shall make any nomination for the appointment of a management board member or supervisory board member with due regard to the rules and principles set forth in such diversity policy and profile, as applicable.</w:t>
      </w:r>
    </w:p>
    <w:p>
      <w:pPr>
        <w:spacing w:after="0" w:line="182"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At a general meeting, a resolution to appoint a management board member or supervisory board member can only be passed in respect of candidates whose names are stated for that purpose in the agenda of that general meeting or in the explanatory notes thereto.</w:t>
      </w:r>
    </w:p>
    <w:p>
      <w:pPr>
        <w:spacing w:after="0" w:line="164" w:lineRule="exact"/>
        <w:rPr>
          <w:sz w:val="20"/>
          <w:szCs w:val="20"/>
          <w:color w:val="auto"/>
        </w:rPr>
      </w:pPr>
    </w:p>
    <w:p>
      <w:pPr>
        <w:jc w:val="both"/>
        <w:ind w:right="100" w:firstLine="318"/>
        <w:spacing w:after="0" w:line="268" w:lineRule="auto"/>
        <w:rPr>
          <w:sz w:val="20"/>
          <w:szCs w:val="20"/>
          <w:color w:val="auto"/>
        </w:rPr>
      </w:pPr>
      <w:r>
        <w:rPr>
          <w:rFonts w:ascii="Times New Roman" w:cs="Times New Roman" w:eastAsia="Times New Roman" w:hAnsi="Times New Roman"/>
          <w:sz w:val="17"/>
          <w:szCs w:val="17"/>
          <w:color w:val="auto"/>
        </w:rPr>
        <w:t>Under Dutch law, when nominating a person for appointment or reappointment as a supervisory board member,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w:t>
      </w:r>
    </w:p>
    <w:p>
      <w:pPr>
        <w:spacing w:after="0" w:line="1" w:lineRule="exact"/>
        <w:rPr>
          <w:sz w:val="20"/>
          <w:szCs w:val="20"/>
          <w:color w:val="auto"/>
        </w:rPr>
      </w:pPr>
    </w:p>
    <w:p>
      <w:pPr>
        <w:jc w:val="both"/>
        <w:ind w:right="100" w:firstLine="7"/>
        <w:spacing w:after="0" w:line="249" w:lineRule="auto"/>
        <w:tabs>
          <w:tab w:leader="none" w:pos="30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present and past positions, to the extent relevant for the performance of the tasks of a supervisory board member; and (iv) the name of each entity where such person already holds a position as supervisory board member or non-executive director (in case of multiple entities within the same group, the name of the group shall suffice).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and Liabilities of Management Board and Supervisory Board Members</w:t>
      </w:r>
    </w:p>
    <w:p>
      <w:pPr>
        <w:spacing w:after="0" w:line="222"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management board members may divide their tasks among themselves in or pursuant to the internal rules applicable to the management board. Each management board member and supervisory board member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Any resolution of the management board regarding a material change in our identity or character requires approval of the general meeting.</w:t>
      </w:r>
    </w:p>
    <w:p>
      <w:pPr>
        <w:spacing w:after="0" w:line="185" w:lineRule="exact"/>
        <w:rPr>
          <w:sz w:val="20"/>
          <w:szCs w:val="20"/>
          <w:color w:val="auto"/>
        </w:rPr>
      </w:pPr>
    </w:p>
    <w:p>
      <w:pPr>
        <w:ind w:right="120" w:firstLine="353"/>
        <w:spacing w:after="0" w:line="274" w:lineRule="auto"/>
        <w:rPr>
          <w:sz w:val="20"/>
          <w:szCs w:val="20"/>
          <w:color w:val="auto"/>
        </w:rPr>
      </w:pPr>
      <w:r>
        <w:rPr>
          <w:rFonts w:ascii="Times New Roman" w:cs="Times New Roman" w:eastAsia="Times New Roman" w:hAnsi="Times New Roman"/>
          <w:sz w:val="18"/>
          <w:szCs w:val="18"/>
          <w:color w:val="auto"/>
        </w:rPr>
        <w:t>Our management board is entitled to represent the Company. The power to represent the Company also vests in any two management board members acting jointly.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2" w:lineRule="exact"/>
        <w:rPr>
          <w:sz w:val="20"/>
          <w:szCs w:val="20"/>
          <w:color w:val="auto"/>
        </w:rPr>
      </w:pPr>
    </w:p>
    <w:p>
      <w:pPr>
        <w:ind w:right="180" w:firstLine="318"/>
        <w:spacing w:after="0" w:line="253" w:lineRule="auto"/>
        <w:rPr>
          <w:sz w:val="20"/>
          <w:szCs w:val="20"/>
          <w:color w:val="auto"/>
        </w:rPr>
      </w:pPr>
      <w:r>
        <w:rPr>
          <w:rFonts w:ascii="Times New Roman" w:cs="Times New Roman" w:eastAsia="Times New Roman" w:hAnsi="Times New Roman"/>
          <w:sz w:val="18"/>
          <w:szCs w:val="18"/>
          <w:color w:val="auto"/>
        </w:rPr>
        <w:t>We may only make distributions, whether a distribution of profits or of freely distributable reserves, to our shareholders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paid-in and called-up share capital plus any reserves required by Dutch law or by our articles of association. Under our articles of association, the management board may decide that all or part of the profits are carried to reserves. After reservation by the management board of any profit, any remaining profit will be at the disposal of the general meeting for distribution, subject to restrictions of Dutch law and approval by our supervisory board.</w:t>
      </w:r>
    </w:p>
    <w:p>
      <w:pPr>
        <w:spacing w:after="0" w:line="182"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8"/>
          <w:szCs w:val="18"/>
          <w:color w:val="auto"/>
        </w:rPr>
        <w:t>We only make a distribution of dividends to our shareholders after the adoption of our annual accounts demonstrating that such distribution is legally permitted. The management board is permitted, subject to certain requirements, to declare interim dividends without the approval of the general meeting, but only with the approval of the supervisory board.</w:t>
      </w:r>
    </w:p>
    <w:p>
      <w:pPr>
        <w:spacing w:after="0" w:line="176" w:lineRule="exact"/>
        <w:rPr>
          <w:sz w:val="20"/>
          <w:szCs w:val="20"/>
          <w:color w:val="auto"/>
        </w:rPr>
      </w:pPr>
    </w:p>
    <w:p>
      <w:pPr>
        <w:ind w:right="240" w:firstLine="318"/>
        <w:spacing w:after="0" w:line="260" w:lineRule="auto"/>
        <w:rPr>
          <w:sz w:val="20"/>
          <w:szCs w:val="20"/>
          <w:color w:val="auto"/>
        </w:rPr>
      </w:pPr>
      <w:r>
        <w:rPr>
          <w:rFonts w:ascii="Times New Roman" w:cs="Times New Roman" w:eastAsia="Times New Roman" w:hAnsi="Times New Roman"/>
          <w:sz w:val="18"/>
          <w:szCs w:val="18"/>
          <w:color w:val="auto"/>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318"/>
        <w:spacing w:after="0" w:line="253" w:lineRule="auto"/>
        <w:rPr>
          <w:sz w:val="20"/>
          <w:szCs w:val="20"/>
          <w:color w:val="auto"/>
        </w:rPr>
      </w:pPr>
      <w:r>
        <w:rPr>
          <w:rFonts w:ascii="Times New Roman" w:cs="Times New Roman" w:eastAsia="Times New Roman" w:hAnsi="Times New Roman"/>
          <w:sz w:val="18"/>
          <w:szCs w:val="18"/>
          <w:color w:val="auto"/>
        </w:rPr>
        <w:t>Our current dividend policy is to retain all available funds and any future earnings to fund the completion of the development of the Sion and the start of its serial production as well as the further development and expansion of our business. If we were to revise this policy relating to a payment of future dividends, such revised policy would, subject to the restrictions described above, depend on many factors, such as our results of operations, financial condition, cash requirements, prospects and other factors deemed relevant by our management board and supervisory board. For more information, see “Dividend Policy”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w:t>
      </w:r>
    </w:p>
    <w:p>
      <w:pPr>
        <w:spacing w:after="0" w:line="222"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 regulations, the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 applicable anti-boycott regulations, applicable anti- money-laundering regulations and similar rules and provided that, under 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Squeeze-Out Procedures</w:t>
      </w:r>
    </w:p>
    <w:p>
      <w:pPr>
        <w:spacing w:after="0" w:line="222"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A shareholder who holds at least 95% of our issued share capital for its own account, alone or together with group companies,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Times New Roman" w:cs="Times New Roman" w:eastAsia="Times New Roman" w:hAnsi="Times New Roman"/>
          <w:sz w:val="18"/>
          <w:szCs w:val="18"/>
          <w:i w:val="1"/>
          <w:iCs w:val="1"/>
          <w:color w:val="auto"/>
        </w:rPr>
        <w:t>Wetboek van Burgerlijke Rechtsvordering</w:t>
      </w:r>
      <w:r>
        <w:rPr>
          <w:rFonts w:ascii="Times New Roman" w:cs="Times New Roman" w:eastAsia="Times New Roman" w:hAnsi="Times New Roman"/>
          <w:sz w:val="18"/>
          <w:szCs w:val="18"/>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it. Unless the addresses of all of them are known to the acquiring person, such a person is required to publish the same in a daily newspaper with a national circulation.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and Liquidation</w:t>
      </w:r>
    </w:p>
    <w:p>
      <w:pPr>
        <w:spacing w:after="0" w:line="222"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8"/>
          <w:szCs w:val="18"/>
          <w:color w:val="auto"/>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those remaining assets shall be distributed to our shareholders in proportion to their number of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Dutch Corporate Governance Code</w:t>
      </w:r>
    </w:p>
    <w:p>
      <w:pPr>
        <w:spacing w:after="0" w:line="21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As a listed Dutch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we are subject to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statutory annual reports, filed in The Netherlands, whether they comply with the provisions of the DCGC. If they do not comply with these provisions (for example, because of a conflicting Nasdaq requirement), the company is required to give the reasons for such non-compliance. See “</w:t>
      </w:r>
      <w:r>
        <w:rPr>
          <w:rFonts w:ascii="Times New Roman" w:cs="Times New Roman" w:eastAsia="Times New Roman" w:hAnsi="Times New Roman"/>
          <w:sz w:val="18"/>
          <w:szCs w:val="18"/>
          <w:i w:val="1"/>
          <w:iCs w:val="1"/>
          <w:color w:val="auto"/>
        </w:rPr>
        <w:t>Risk Factors —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 — We are not obligated to, and do not, comply with all best practice provisions of the Dutch Corporate Governance Code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8"/>
          <w:szCs w:val="18"/>
          <w:color w:val="auto"/>
        </w:rPr>
        <w:t>We do not comply with all principles and best practice provisions of the DCGC. As of the date of this prospectus, our main deviations from the DCGC are summarized below, but cannot exclude the possibility of deviating from additional provisions of the DCGC after the date hereof, including in order to follow market practice or governance practices in the United States.</w:t>
      </w:r>
    </w:p>
    <w:p>
      <w:pPr>
        <w:spacing w:after="0" w:line="17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Under our articles of association, management board members and supervisory board members are to be appointed on the basis of a binding nomination prepared by the supervisory board or certain of our shareholders. This means that the nominee will be appointed, unless the general meeting removes the binding nature of the nomination (in which case a new nomination will be prepared for a subsequent general meeting). Our articles of association provide that the general meeting can only pass such resolution by a two-thirds majority representing more than half of the issued share capital. However, the DCGC recommends that the general meeting can pass such a resolution by simple majority, representing no more than one-third of the issued share capital.</w:t>
      </w:r>
    </w:p>
    <w:p>
      <w:pPr>
        <w:spacing w:after="0" w:line="187" w:lineRule="exact"/>
        <w:rPr>
          <w:sz w:val="20"/>
          <w:szCs w:val="20"/>
          <w:color w:val="auto"/>
        </w:rPr>
      </w:pPr>
    </w:p>
    <w:p>
      <w:pPr>
        <w:ind w:right="120" w:firstLine="318"/>
        <w:spacing w:after="0" w:line="253" w:lineRule="auto"/>
        <w:rPr>
          <w:sz w:val="20"/>
          <w:szCs w:val="20"/>
          <w:color w:val="auto"/>
        </w:rPr>
      </w:pPr>
      <w:r>
        <w:rPr>
          <w:rFonts w:ascii="Times New Roman" w:cs="Times New Roman" w:eastAsia="Times New Roman" w:hAnsi="Times New Roman"/>
          <w:sz w:val="18"/>
          <w:szCs w:val="18"/>
          <w:color w:val="auto"/>
        </w:rPr>
        <w:t>Under our articles of association, management board members and supervisory board members can only be dismissed by the general meeting by simple majority, provided that the supervisory board proposes the dismissal. In other cases, the general meeting can only pass such resolution by a two-thirds majority representing more than half of the issued share capital. The DCGC recommends that the general meeting can pass a resolution to dismiss a management board member or a supervisory board member by simple majority, representing no more than one-third of the issued share capital.</w:t>
      </w:r>
    </w:p>
    <w:p>
      <w:pPr>
        <w:spacing w:after="0" w:line="182" w:lineRule="exact"/>
        <w:rPr>
          <w:sz w:val="20"/>
          <w:szCs w:val="20"/>
          <w:color w:val="auto"/>
        </w:rPr>
      </w:pPr>
    </w:p>
    <w:p>
      <w:pPr>
        <w:jc w:val="both"/>
        <w:ind w:right="240" w:firstLine="318"/>
        <w:spacing w:after="0" w:line="304" w:lineRule="auto"/>
        <w:rPr>
          <w:sz w:val="20"/>
          <w:szCs w:val="20"/>
          <w:color w:val="auto"/>
        </w:rPr>
      </w:pPr>
      <w:r>
        <w:rPr>
          <w:rFonts w:ascii="Times New Roman" w:cs="Times New Roman" w:eastAsia="Times New Roman" w:hAnsi="Times New Roman"/>
          <w:sz w:val="17"/>
          <w:szCs w:val="17"/>
          <w:color w:val="auto"/>
        </w:rPr>
        <w:t>The DCGC recommends against providing equity awards as part of the compensation of a supervisory board member. However, we may deviate from this recommendation and grant equity awards to our supervisory board members, consistent with U.S. market practice.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Our long-term incentive plan allows us to set the terms and conditions of equity awards granted thereunder. Under that plan, we may grant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82" w:lineRule="exact"/>
        <w:rPr>
          <w:sz w:val="20"/>
          <w:szCs w:val="20"/>
          <w:color w:val="auto"/>
        </w:rPr>
      </w:pPr>
    </w:p>
    <w:p>
      <w:pPr>
        <w:ind w:right="940" w:firstLine="318"/>
        <w:spacing w:after="0" w:line="274" w:lineRule="auto"/>
        <w:rPr>
          <w:sz w:val="20"/>
          <w:szCs w:val="20"/>
          <w:color w:val="auto"/>
        </w:rPr>
      </w:pPr>
      <w:r>
        <w:rPr>
          <w:rFonts w:ascii="Times New Roman" w:cs="Times New Roman" w:eastAsia="Times New Roman" w:hAnsi="Times New Roman"/>
          <w:sz w:val="18"/>
          <w:szCs w:val="18"/>
          <w:color w:val="auto"/>
        </w:rPr>
        <w:t>The DCGC provides recommendations regarding the independence of our committees. We do not comply with all of these recommendations, due also to recent changes in the composition of our supervisory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Dutch Financial Reporting Supervision Act</w:t>
      </w:r>
    </w:p>
    <w:p>
      <w:pPr>
        <w:spacing w:after="0" w:line="218" w:lineRule="exact"/>
        <w:rPr>
          <w:sz w:val="20"/>
          <w:szCs w:val="20"/>
          <w:color w:val="auto"/>
        </w:rPr>
      </w:pPr>
    </w:p>
    <w:p>
      <w:pPr>
        <w:ind w:right="300" w:firstLine="318"/>
        <w:spacing w:after="0" w:line="261" w:lineRule="auto"/>
        <w:rPr>
          <w:sz w:val="20"/>
          <w:szCs w:val="20"/>
          <w:color w:val="auto"/>
        </w:rPr>
      </w:pPr>
      <w:r>
        <w:rPr>
          <w:rFonts w:ascii="Times New Roman" w:cs="Times New Roman" w:eastAsia="Times New Roman" w:hAnsi="Times New Roman"/>
          <w:sz w:val="18"/>
          <w:szCs w:val="18"/>
          <w:color w:val="auto"/>
        </w:rPr>
        <w:t>On the basis of the Dutch Financial Reporting Supervision Act (</w:t>
      </w:r>
      <w:r>
        <w:rPr>
          <w:rFonts w:ascii="Times New Roman" w:cs="Times New Roman" w:eastAsia="Times New Roman" w:hAnsi="Times New Roman"/>
          <w:sz w:val="18"/>
          <w:szCs w:val="18"/>
          <w:i w:val="1"/>
          <w:iCs w:val="1"/>
          <w:color w:val="auto"/>
        </w:rPr>
        <w:t>Wet toezicht financiële verslaggeving</w:t>
      </w:r>
      <w:r>
        <w:rPr>
          <w:rFonts w:ascii="Times New Roman" w:cs="Times New Roman" w:eastAsia="Times New Roman" w:hAnsi="Times New Roman"/>
          <w:sz w:val="18"/>
          <w:szCs w:val="18"/>
          <w:color w:val="auto"/>
        </w:rPr>
        <w:t>), or the FRSA, the Dutch Authority for the Financial Markets (</w:t>
      </w:r>
      <w:r>
        <w:rPr>
          <w:rFonts w:ascii="Times New Roman" w:cs="Times New Roman" w:eastAsia="Times New Roman" w:hAnsi="Times New Roman"/>
          <w:sz w:val="18"/>
          <w:szCs w:val="18"/>
          <w:i w:val="1"/>
          <w:iCs w:val="1"/>
          <w:color w:val="auto"/>
        </w:rPr>
        <w:t>Stichting Autoriteit Financiële Markten</w:t>
      </w:r>
      <w:r>
        <w:rPr>
          <w:rFonts w:ascii="Times New Roman" w:cs="Times New Roman" w:eastAsia="Times New Roman" w:hAnsi="Times New Roman"/>
          <w:sz w:val="18"/>
          <w:szCs w:val="18"/>
          <w:color w:val="auto"/>
        </w:rPr>
        <w:t>), or AFM, supervises the application of financial reporting standards by Dutch companies whose securities are listed on a Dutch or foreign stock exchange.</w:t>
      </w:r>
    </w:p>
    <w:p>
      <w:pPr>
        <w:spacing w:after="0" w:line="176"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Pursuant to the FRSA, the AFM has an independent right to (i) request an explanation from us regarding our application of the applicable financial reporting standards if, based on publicly known facts or circumstances, it has reason to doubt that the Company’s financial reporting meets such standards and (ii) recommend to us the making available of further explanations. If we do not comply with such a request or recommendation</w:t>
      </w:r>
      <w:r>
        <w:rPr>
          <w:rFonts w:ascii="Times New Roman" w:cs="Times New Roman" w:eastAsia="Times New Roman" w:hAnsi="Times New Roman"/>
          <w:sz w:val="18"/>
          <w:szCs w:val="18"/>
          <w:color w:val="231F20"/>
        </w:rPr>
        <w:t>, the AFM may request that the Enterprise Chamber order us to (i) make</w:t>
      </w:r>
      <w:r>
        <w:rPr>
          <w:rFonts w:ascii="Times New Roman" w:cs="Times New Roman" w:eastAsia="Times New Roman" w:hAnsi="Times New Roman"/>
          <w:sz w:val="18"/>
          <w:szCs w:val="18"/>
          <w:color w:val="auto"/>
        </w:rPr>
        <w:t xml:space="preserv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ordinary shares are listed on Nasdaq under the symbol “SEV.”</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transfer agent and registrar for the ordinary shares is the American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DUTCH CORPORATE LAW AND U.S. CORPORATE LAW</w:t>
      </w:r>
    </w:p>
    <w:p>
      <w:pPr>
        <w:spacing w:after="0" w:line="21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Managing and Supervisory Board Members</w:t>
      </w:r>
    </w:p>
    <w:p>
      <w:pPr>
        <w:spacing w:after="0" w:line="220" w:lineRule="exact"/>
        <w:rPr>
          <w:sz w:val="20"/>
          <w:szCs w:val="20"/>
          <w:color w:val="auto"/>
        </w:rPr>
      </w:pPr>
    </w:p>
    <w:p>
      <w:pPr>
        <w:ind w:right="20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We have a two-tier board structure consisting of our management board (</w:t>
      </w:r>
      <w:r>
        <w:rPr>
          <w:rFonts w:ascii="Times New Roman" w:cs="Times New Roman" w:eastAsia="Times New Roman" w:hAnsi="Times New Roman"/>
          <w:sz w:val="18"/>
          <w:szCs w:val="18"/>
          <w:i w:val="1"/>
          <w:iCs w:val="1"/>
          <w:color w:val="auto"/>
        </w:rPr>
        <w:t>bestuur</w:t>
      </w:r>
      <w:r>
        <w:rPr>
          <w:rFonts w:ascii="Times New Roman" w:cs="Times New Roman" w:eastAsia="Times New Roman" w:hAnsi="Times New Roman"/>
          <w:sz w:val="18"/>
          <w:szCs w:val="18"/>
          <w:color w:val="auto"/>
        </w:rPr>
        <w:t>) and a separate supervisory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raad van commissarissen</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management board members may divide their tasks among themselves in or pursuant to the internal rules applicable to the management board. Each management board member and supervisory board member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Any resolution of the management board regarding a material change in our identity or character requires approval of the general meeting.</w:t>
      </w:r>
    </w:p>
    <w:p>
      <w:pPr>
        <w:spacing w:after="0" w:line="185"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The approval of our supervisory board is required for certain resolutions of our management board, including concerning the following matters: the making of certain proposals to the general meeting; the issue of shares or the granting of rights to subscribe for shares; the limitation or exclusion of preemption rights; the acquisition of shares by us in our own capital; the drawing up or amendment of our management board rules; the performance of legal acts relating to non-cash contributions on shares; material changes to the identity or the character of the company or its business; the charging of amounts to be paid up on shares against the company’s reserves; the making of an interim distribution; and such other resolutions as the supervisory board shall have specified in a resolution to that effect and notified to the management board. The absence of the approval of the supervisory board shall result in the relevant resolution being null and void but shall not affect the powers of representation of the management board or of the management board members.</w:t>
      </w:r>
    </w:p>
    <w:p>
      <w:pPr>
        <w:spacing w:after="0" w:line="185"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Our management board is entitled to represent the Company. The power to represent the Company also vests in any two management board members acting jointly.</w:t>
      </w:r>
    </w:p>
    <w:p>
      <w:pPr>
        <w:spacing w:after="0" w:line="16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board of directors bears the ultimate responsibility for managing the business and affairs of a corporation.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Terms</w:t>
      </w:r>
    </w:p>
    <w:p>
      <w:pPr>
        <w:spacing w:after="0" w:line="218" w:lineRule="exact"/>
        <w:rPr>
          <w:sz w:val="20"/>
          <w:szCs w:val="20"/>
          <w:color w:val="auto"/>
        </w:rPr>
      </w:pPr>
    </w:p>
    <w:p>
      <w:pPr>
        <w:ind w:right="340" w:firstLine="353"/>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The DCGC provides the following best practice recommendations on the terms for tenure of management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and supervisory board members:</w:t>
      </w:r>
    </w:p>
    <w:p>
      <w:pPr>
        <w:spacing w:after="0" w:line="163" w:lineRule="exact"/>
        <w:rPr>
          <w:sz w:val="20"/>
          <w:szCs w:val="20"/>
          <w:color w:val="auto"/>
        </w:rPr>
      </w:pPr>
    </w:p>
    <w:p>
      <w:pPr>
        <w:ind w:left="680" w:right="860" w:hanging="328"/>
        <w:spacing w:after="0" w:line="274" w:lineRule="auto"/>
        <w:tabs>
          <w:tab w:leader="none" w:pos="68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board members should be appointed for a maximum period of four years, without limiting the number of consecutive terms management board members may serve.</w:t>
      </w:r>
    </w:p>
    <w:p>
      <w:pPr>
        <w:spacing w:after="0" w:line="164" w:lineRule="exact"/>
        <w:rPr>
          <w:rFonts w:ascii="Times New Roman" w:cs="Times New Roman" w:eastAsia="Times New Roman" w:hAnsi="Times New Roman"/>
          <w:sz w:val="18"/>
          <w:szCs w:val="18"/>
          <w:color w:val="231F20"/>
        </w:rPr>
      </w:pPr>
    </w:p>
    <w:p>
      <w:pPr>
        <w:ind w:left="680" w:right="100" w:hanging="328"/>
        <w:spacing w:after="0" w:line="282" w:lineRule="auto"/>
        <w:tabs>
          <w:tab w:leader="none" w:pos="680" w:val="left"/>
        </w:tabs>
        <w:numPr>
          <w:ilvl w:val="0"/>
          <w:numId w:val="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Supervisory board members should be appointed for two consecutive periods of no more than four years. Thereafter, supervisory board members may be reappointed for a maximum of two </w:t>
      </w:r>
      <w:r>
        <w:rPr>
          <w:rFonts w:ascii="Times New Roman" w:cs="Times New Roman" w:eastAsia="Times New Roman" w:hAnsi="Times New Roman"/>
          <w:sz w:val="17"/>
          <w:szCs w:val="17"/>
          <w:color w:val="000000"/>
        </w:rPr>
        <w:t>consecutive periods of no more than two years, provided that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reasons for any reappointment after an eight-year term of office should be disclosed in the company’s annual report.</w:t>
      </w:r>
    </w:p>
    <w:p>
      <w:pPr>
        <w:spacing w:after="0" w:line="160"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The general meeting shall at all times be entitled to suspend or dismiss a management board member or supervisory board member. Under our articles of association, the general meeting may only adopt a resolution to suspend or dismiss such director by at least a two-thirds majority of the votes cast, provided that such majority represents more than half of the issued share capital, unless the resolution is passed at the proposal of the supervisory board, in which case a simple majority of the votes cast is sufficient. In addition, the supervisory board may at any time suspend a management board member. A suspension by the supervisory board can at any time be lifted by the general meeting. If a management board member is suspended and the general meeting does not resolve to dismiss him or her within three months from the date of such suspension, the suspension shall lapse.</w:t>
      </w:r>
    </w:p>
    <w:p>
      <w:pPr>
        <w:spacing w:after="0" w:line="187"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Delaware General Corporation Law generally provides for a one-year term for directors, but permits directorships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21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Our management board can temporarily fill vacancies in its midst caused by temporary absence or incapacity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board members without requiring a shareholder vote. If all of our management board members are absent or incapacitated, our management shall be attributed to the supervisory board. The person charged with our management in this manner may designate one or more persons to be charged with our management instead of, or together with, such person(s). Our supervisory board can also temporarily fill vacancies in its midst caused by temporary absence or incapacity of supervisory board members without a shareholder vote. If all of our supervisory board members are absent or incapacitated, the supervision of our Company shall be attributed to the person who most recently ceased to hold office as the chairperson of our supervisory board, provided that such person is willing and able to accept such position, who may designate one or more other persons to be charged with the supervision of the Company, instead of, or together with, such former chairperson. The person charged with the supervision of the Company pursuant to this provision shall cease to hold that position when the general meeting has appointed one or more persons as supervisory board members.</w:t>
      </w:r>
    </w:p>
    <w:p>
      <w:pPr>
        <w:spacing w:after="0" w:line="189"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Under Dutch law, management board members and supervisory board members are appointed and reappointed by the general meeting. Under our articles of association, each of Laurin Hahn and Jona Christians, two of our founders, as long as he holds at least 5% of our voting rights, can each make a binding nomination for the appointment of one supervisory board member. These supervisory board members can only be appointed by the general meeting upon such binding nominations. In addition, under our articles of association, our management board members and our other supervisory board members are appointed by the general meeting upon binding nomination by our supervisory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supervisory board, Laurin Hahn or Jona Christians, as applicable, shall make a new nomination.</w:t>
      </w:r>
    </w:p>
    <w:p>
      <w:pPr>
        <w:spacing w:after="0" w:line="17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Our supervisory board adopted a diversity policy for the composition of our management board and our supervisory board, as well as a profile for the composition of the supervisory board. The supervisory board shall make any nomination for the appointment of a management board member or supervisory board member with due regard to the rules and principles set forth in such diversity policy and profile, as applicable.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right="100" w:firstLine="318"/>
        <w:spacing w:after="0" w:line="268" w:lineRule="auto"/>
        <w:rPr>
          <w:sz w:val="20"/>
          <w:szCs w:val="20"/>
          <w:color w:val="auto"/>
        </w:rPr>
      </w:pPr>
      <w:r>
        <w:rPr>
          <w:rFonts w:ascii="Times New Roman" w:cs="Times New Roman" w:eastAsia="Times New Roman" w:hAnsi="Times New Roman"/>
          <w:sz w:val="17"/>
          <w:szCs w:val="17"/>
          <w:color w:val="auto"/>
        </w:rPr>
        <w:t>Under Dutch law, when nominating a person for appointment or reappointment as a supervisory board member,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w:t>
      </w:r>
    </w:p>
    <w:p>
      <w:pPr>
        <w:spacing w:after="0" w:line="1" w:lineRule="exact"/>
        <w:rPr>
          <w:sz w:val="20"/>
          <w:szCs w:val="20"/>
          <w:color w:val="auto"/>
        </w:rPr>
      </w:pPr>
    </w:p>
    <w:p>
      <w:pPr>
        <w:jc w:val="both"/>
        <w:ind w:right="60" w:firstLine="51"/>
        <w:spacing w:after="0" w:line="249" w:lineRule="auto"/>
        <w:tabs>
          <w:tab w:leader="none" w:pos="354"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present and past positions, to the extent relevant for the performance of the tasks of a supervisory board member; and (iv) the name of each entity where such person already holds a position as supervisory board member or non-executive director (in case of multiple entities within the same group, the name of the group shall suffice).</w:t>
      </w:r>
    </w:p>
    <w:p>
      <w:pPr>
        <w:spacing w:after="0" w:line="18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Delaware General Corporation Law provides that vacancies and newly created directorships may be filled by a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Conflict-of-Interest Transactions</w:t>
      </w:r>
    </w:p>
    <w:p>
      <w:pPr>
        <w:spacing w:after="0" w:line="218"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and our articles of association, our management board members and supervisory board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take part in any discussion or decision-making that involves a subject or transaction in relation to which he or she has a direct or indirect personal conflict of interest with us. Such a conflict of interest would generally arise if the management board member or supervisory board member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management board can be adopted, the resolution shall be passed by the supervisory board and that, if as a result of conflicts of interests no resolution of the supervisory board can be adopted, the resolution may nonetheless be adopted by the supervisory board as if none of the supervisory board members had a conflict of interest. In that case, each supervisory board member is entitled to participate in the discussion and decision-making process and to cast a vote.</w:t>
      </w:r>
    </w:p>
    <w:p>
      <w:pPr>
        <w:spacing w:after="0" w:line="192" w:lineRule="exact"/>
        <w:rPr>
          <w:sz w:val="20"/>
          <w:szCs w:val="20"/>
          <w:color w:val="auto"/>
        </w:rPr>
      </w:pPr>
    </w:p>
    <w:p>
      <w:pPr>
        <w:ind w:right="120" w:firstLine="353"/>
        <w:spacing w:after="0" w:line="274" w:lineRule="auto"/>
        <w:rPr>
          <w:sz w:val="20"/>
          <w:szCs w:val="20"/>
          <w:color w:val="auto"/>
        </w:rPr>
      </w:pPr>
      <w:r>
        <w:rPr>
          <w:rFonts w:ascii="Times New Roman" w:cs="Times New Roman" w:eastAsia="Times New Roman" w:hAnsi="Times New Roman"/>
          <w:sz w:val="18"/>
          <w:szCs w:val="18"/>
          <w:color w:val="auto"/>
        </w:rPr>
        <w:t>The DCGC provides the following best practice recommendations in relation to conflicts of interests in respect of management board members or supervisory board members:</w:t>
      </w:r>
    </w:p>
    <w:p>
      <w:pPr>
        <w:spacing w:after="0" w:line="164" w:lineRule="exact"/>
        <w:rPr>
          <w:sz w:val="20"/>
          <w:szCs w:val="20"/>
          <w:color w:val="auto"/>
        </w:rPr>
      </w:pPr>
    </w:p>
    <w:p>
      <w:pPr>
        <w:ind w:left="680" w:right="40" w:hanging="328"/>
        <w:spacing w:after="0" w:line="253" w:lineRule="auto"/>
        <w:tabs>
          <w:tab w:leader="none" w:pos="68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 management board member should report any potential conflict of interest in a transaction that is of material significance to the company and/or to such person to the chairperson of the supervisory board and to the other members of the management board without delay. The management board member should provide all relevant information in that regard, including the information relevant </w:t>
      </w:r>
      <w:r>
        <w:rPr>
          <w:rFonts w:ascii="Times New Roman" w:cs="Times New Roman" w:eastAsia="Times New Roman" w:hAnsi="Times New Roman"/>
          <w:sz w:val="18"/>
          <w:szCs w:val="18"/>
          <w:color w:val="000000"/>
        </w:rPr>
        <w:t>to the situation concerning his or her spouse, registered partner or other life companion, foster child and relatives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blood or marriage up to the second degree.</w:t>
      </w:r>
    </w:p>
    <w:p>
      <w:pPr>
        <w:spacing w:after="0" w:line="182" w:lineRule="exact"/>
        <w:rPr>
          <w:rFonts w:ascii="Times New Roman" w:cs="Times New Roman" w:eastAsia="Times New Roman" w:hAnsi="Times New Roman"/>
          <w:sz w:val="18"/>
          <w:szCs w:val="18"/>
          <w:color w:val="231F20"/>
        </w:rPr>
      </w:pPr>
    </w:p>
    <w:p>
      <w:pPr>
        <w:ind w:left="680" w:right="160" w:hanging="328"/>
        <w:spacing w:after="0" w:line="251" w:lineRule="auto"/>
        <w:tabs>
          <w:tab w:leader="none" w:pos="68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supervisory board member should report any conflict of interest or potential conflict of interest in a transaction that is of material significance to the company and/or to such person to the chairperson of the supervisory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supervisory board has a conflict of interest or potential conflict of interest, he or she should report this to the vice-chairperson of the supervisory board without delay.</w:t>
      </w:r>
    </w:p>
    <w:p>
      <w:pPr>
        <w:spacing w:after="0" w:line="186" w:lineRule="exact"/>
        <w:rPr>
          <w:rFonts w:ascii="Times New Roman" w:cs="Times New Roman" w:eastAsia="Times New Roman" w:hAnsi="Times New Roman"/>
          <w:sz w:val="18"/>
          <w:szCs w:val="18"/>
          <w:color w:val="231F20"/>
        </w:rPr>
      </w:pPr>
    </w:p>
    <w:p>
      <w:pPr>
        <w:ind w:left="680" w:right="500" w:hanging="328"/>
        <w:spacing w:after="0" w:line="274" w:lineRule="auto"/>
        <w:tabs>
          <w:tab w:leader="none" w:pos="68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supervisory board should decide, outside the presence of the management board member or supervisory board member concerned, whether there is a conflict of interest.</w:t>
      </w:r>
    </w:p>
    <w:p>
      <w:pPr>
        <w:spacing w:after="0" w:line="164" w:lineRule="exact"/>
        <w:rPr>
          <w:rFonts w:ascii="Times New Roman" w:cs="Times New Roman" w:eastAsia="Times New Roman" w:hAnsi="Times New Roman"/>
          <w:sz w:val="18"/>
          <w:szCs w:val="18"/>
          <w:color w:val="231F20"/>
        </w:rPr>
      </w:pPr>
    </w:p>
    <w:p>
      <w:pPr>
        <w:ind w:left="680" w:right="20" w:hanging="328"/>
        <w:spacing w:after="0" w:line="274" w:lineRule="auto"/>
        <w:tabs>
          <w:tab w:leader="none" w:pos="68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transactions in which there are conflicts of interest with management board members or supervisory board members should be agreed on terms that are customary in the market.</w:t>
      </w:r>
    </w:p>
    <w:p>
      <w:pPr>
        <w:spacing w:after="0" w:line="164" w:lineRule="exact"/>
        <w:rPr>
          <w:rFonts w:ascii="Times New Roman" w:cs="Times New Roman" w:eastAsia="Times New Roman" w:hAnsi="Times New Roman"/>
          <w:sz w:val="18"/>
          <w:szCs w:val="18"/>
          <w:color w:val="231F20"/>
        </w:rPr>
      </w:pPr>
    </w:p>
    <w:p>
      <w:pPr>
        <w:ind w:left="680" w:right="20" w:hanging="328"/>
        <w:spacing w:after="0" w:line="253" w:lineRule="auto"/>
        <w:tabs>
          <w:tab w:leader="none" w:pos="68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Decisions to enter into transactions in which there are conflicts of interest with management board members or supervisory board members that are of material significance to the company and/or to the relevant management board members or supervisory board members should require the approval of the supervisory board. Such transactions should be published in the annual report, together with a description of the conflict of interest and a declaration that the relevant best practice provisions of the DCGC have been complied with.</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Delaware General Corporation Law generally permits transactions involving a Delaware corporation and an interested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that corporation if:</w:t>
      </w:r>
    </w:p>
    <w:p>
      <w:pPr>
        <w:spacing w:after="0" w:line="163" w:lineRule="exact"/>
        <w:rPr>
          <w:sz w:val="20"/>
          <w:szCs w:val="20"/>
          <w:color w:val="auto"/>
        </w:rPr>
      </w:pPr>
    </w:p>
    <w:p>
      <w:pPr>
        <w:ind w:left="680" w:hanging="328"/>
        <w:spacing w:after="0"/>
        <w:tabs>
          <w:tab w:leader="none" w:pos="68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material facts as to the director’s relationship or interest are disclosed and a majority of disinterested directors consent;</w:t>
      </w:r>
    </w:p>
    <w:p>
      <w:pPr>
        <w:spacing w:after="0" w:line="217" w:lineRule="exact"/>
        <w:rPr>
          <w:rFonts w:ascii="Times New Roman" w:cs="Times New Roman" w:eastAsia="Times New Roman" w:hAnsi="Times New Roman"/>
          <w:sz w:val="18"/>
          <w:szCs w:val="18"/>
          <w:color w:val="231F20"/>
        </w:rPr>
      </w:pPr>
    </w:p>
    <w:p>
      <w:pPr>
        <w:ind w:left="680" w:right="20" w:hanging="328"/>
        <w:spacing w:after="0" w:line="274" w:lineRule="auto"/>
        <w:tabs>
          <w:tab w:leader="none" w:pos="68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material facts are disclosed as to the director’s relationship or interest and a majority of shares entitled to vote thereon consent; or</w:t>
      </w:r>
    </w:p>
    <w:p>
      <w:pPr>
        <w:spacing w:after="0" w:line="164" w:lineRule="exact"/>
        <w:rPr>
          <w:rFonts w:ascii="Times New Roman" w:cs="Times New Roman" w:eastAsia="Times New Roman" w:hAnsi="Times New Roman"/>
          <w:sz w:val="18"/>
          <w:szCs w:val="18"/>
          <w:color w:val="231F20"/>
        </w:rPr>
      </w:pPr>
    </w:p>
    <w:p>
      <w:pPr>
        <w:ind w:left="680" w:right="80" w:hanging="328"/>
        <w:spacing w:after="0" w:line="274" w:lineRule="auto"/>
        <w:tabs>
          <w:tab w:leader="none" w:pos="68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transaction is fair to the corporation at the time it is authorized by the board of directors, a committee of the board of directors or the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 by Directors</w:t>
      </w:r>
    </w:p>
    <w:p>
      <w:pPr>
        <w:spacing w:after="0" w:line="218" w:lineRule="exact"/>
        <w:rPr>
          <w:sz w:val="20"/>
          <w:szCs w:val="20"/>
          <w:color w:val="auto"/>
        </w:rPr>
      </w:pPr>
    </w:p>
    <w:p>
      <w:pPr>
        <w:jc w:val="both"/>
        <w:ind w:right="50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An absent management board member may issue a proxy for a specific management board meeting but only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management board member in writing or by electronic means. An absent supervisory board member may issue a proxy for a specific supervisory board meeting but only to another supervisory board member in writing or by electronic means.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A director of a Delaware corporation may not issue a proxy representing the director’s voting rights as a director.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18" w:lineRule="exact"/>
        <w:rPr>
          <w:sz w:val="20"/>
          <w:szCs w:val="20"/>
          <w:color w:val="auto"/>
        </w:rPr>
      </w:pPr>
    </w:p>
    <w:p>
      <w:pPr>
        <w:jc w:val="both"/>
        <w:ind w:right="20"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The Netherlands. </w:t>
      </w:r>
      <w:r>
        <w:rPr>
          <w:rFonts w:ascii="Times New Roman" w:cs="Times New Roman" w:eastAsia="Times New Roman" w:hAnsi="Times New Roman"/>
          <w:sz w:val="17"/>
          <w:szCs w:val="17"/>
          <w:color w:val="auto"/>
        </w:rPr>
        <w:t>In accordance with Dutch law and our articles of association, each issued ordinary share confers the right to cast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vote at the general meeting and each issued high voting share confers the right to cast 25 votes at the general meeting. No votes may be cast on shares that are held by us or our direct or indirect subsidiaries or on shares for which we or our subsidiaries hold depository receipts.</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 accordance with our articles of association, for each general meeting, the management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3"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each stockholder is entitled to one vote per share of stock,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4"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1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Pursuant to our articles of association, extraordinary general meetings will be held whenever required under Dutch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or whenever our management board or supervisory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we have not taken the steps necessary to ensure that such a meeting can be held within six weeks after the request, the requesting party or parties may, on their application, be authorized by the competent Dutch court in preliminary relief proceedings to convene a general meeting.</w:t>
      </w:r>
    </w:p>
    <w:p>
      <w:pPr>
        <w:spacing w:after="0" w:line="184"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us at least 60 days before the day of the meeting.</w:t>
      </w:r>
    </w:p>
    <w:p>
      <w:pPr>
        <w:spacing w:after="0" w:line="18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accordance with the DCGC and our articles of association, shareholders having the right to put an item on the agenda under the rules described above shall exercise such right only after consulting our management board in that respect. If one or more shareholders intend to request that an item be put on the agenda that may result in a change in our strategy (for example, the removal of management board members or supervisory board members), our management board must be given the opportunity to invoke a reasonable period to respond to such intention. Such period shall not exceed 180 days (or such other period as may be stipulated for such purpose by Dutch law and/or the DCGC from time to time). If invoked, our management board must use such response period for further deliberation and constructive consultation, in any event with the shareholders concerned, and shall explore the alternatives. At the end of the response time, our management board shall report on this consultation and the exploration of alternatives to our general meeting. This shall be supervised by our supervisory board. The response period may be invoked only once for any given general meeting and shall not apply (a) in respect of a matter for which a response period has been previously invoked; or (b) if a shareholder holds at least 75% of our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93"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Moreover, our management board, with the approval of our supervisory board, can invoke a cooling- 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99" w:lineRule="exact"/>
        <w:rPr>
          <w:sz w:val="20"/>
          <w:szCs w:val="20"/>
          <w:color w:val="auto"/>
        </w:rPr>
      </w:pPr>
    </w:p>
    <w:p>
      <w:pPr>
        <w:ind w:left="680" w:right="80" w:hanging="328"/>
        <w:spacing w:after="0" w:line="260" w:lineRule="auto"/>
        <w:tabs>
          <w:tab w:leader="none" w:pos="680"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76" w:lineRule="exact"/>
        <w:rPr>
          <w:rFonts w:ascii="Times New Roman" w:cs="Times New Roman" w:eastAsia="Times New Roman" w:hAnsi="Times New Roman"/>
          <w:sz w:val="18"/>
          <w:szCs w:val="18"/>
          <w:color w:val="231F20"/>
        </w:rPr>
      </w:pPr>
    </w:p>
    <w:p>
      <w:pPr>
        <w:ind w:left="680" w:right="80" w:hanging="328"/>
        <w:spacing w:after="0" w:line="274" w:lineRule="auto"/>
        <w:tabs>
          <w:tab w:leader="none" w:pos="680"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board cannot reasonably believe that a continuation of the cooling-off period would contribute to careful policy-making; 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320" w:hanging="328"/>
        <w:spacing w:after="0" w:line="260"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4" w:lineRule="exact"/>
        <w:rPr>
          <w:sz w:val="20"/>
          <w:szCs w:val="20"/>
          <w:color w:val="auto"/>
        </w:rPr>
      </w:pPr>
    </w:p>
    <w:p>
      <w:pPr>
        <w:ind w:right="100"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Delaware. </w:t>
      </w:r>
      <w:r>
        <w:rPr>
          <w:rFonts w:ascii="Times New Roman" w:cs="Times New Roman" w:eastAsia="Times New Roman" w:hAnsi="Times New Roman"/>
          <w:sz w:val="17"/>
          <w:szCs w:val="17"/>
          <w:color w:val="auto"/>
        </w:rPr>
        <w:t>Delaware law does not specifically grant stockholders the right to bring business before an annual or special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218"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shareholders’ resolutions may be adopted in writing without holding a meeting of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82"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Although permitted by Delaware law, publicly listed companies do not typically permit stockholders of a corporation to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written consent.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218"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Subject to certain exceptions, Dutch law does not recognize the concept of appraisal or dissenters’ rights.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Dutch law does provide for squeeze-out procedures as described under “Description of Share Capital and Articles of Association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Dividends and Other Distributions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Squeeze- 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a shareholder that are subject to such claim will cease to exist as of the moment of entry into effect of the merger.</w:t>
      </w:r>
    </w:p>
    <w:p>
      <w:pPr>
        <w:spacing w:after="0" w:line="183" w:lineRule="exact"/>
        <w:rPr>
          <w:sz w:val="20"/>
          <w:szCs w:val="20"/>
          <w:color w:val="auto"/>
        </w:rPr>
      </w:pPr>
    </w:p>
    <w:p>
      <w:pPr>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Delaware General Corporation Law provides for stockholder appraisal rights, or the right to demand payment in cash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judicially determined fair value of the stockholder’s shares, in connection with certain mergers and consolidations.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218"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The Netherlands. </w:t>
      </w:r>
      <w:r>
        <w:rPr>
          <w:rFonts w:ascii="Times New Roman" w:cs="Times New Roman" w:eastAsia="Times New Roman" w:hAnsi="Times New Roman"/>
          <w:sz w:val="17"/>
          <w:szCs w:val="17"/>
          <w:color w:val="auto"/>
        </w:rPr>
        <w:t>In the event a third party is liable to a Dutch company, only the company itself can bring a civil action against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party. The individual shareholders do not have the right to bring an action on behalf of the company. Only in the event that the cause for the liability of a third party to the company also constitutes a tortious act directly against a shareholder does that shareholder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75"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Under our articles of association, except as otherwise approved by our management board, the sole and exclusive forum for any complaint asserting a cause of action arising under the Securities Act, as amended, to the fullest extent permitted by applicable law, shall be the U.S. federal district courts.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 stockholder may bring a derivative action on behalf of the corporation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w:t>
      </w:r>
    </w:p>
    <w:p>
      <w:pPr>
        <w:spacing w:after="0" w:line="18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218"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The Netherlands. </w:t>
      </w:r>
      <w:r>
        <w:rPr>
          <w:rFonts w:ascii="Times New Roman" w:cs="Times New Roman" w:eastAsia="Times New Roman" w:hAnsi="Times New Roman"/>
          <w:sz w:val="17"/>
          <w:szCs w:val="17"/>
          <w:color w:val="auto"/>
        </w:rPr>
        <w:t>Under Dutch law, when issuing shares, a public company such as ours may not subscribe for newly issued shares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its own capital. Such a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Times New Roman" w:cs="Times New Roman" w:eastAsia="Times New Roman" w:hAnsi="Times New Roman"/>
          <w:sz w:val="17"/>
          <w:szCs w:val="17"/>
          <w:i w:val="1"/>
          <w:iCs w:val="1"/>
          <w:color w:val="auto"/>
        </w:rPr>
        <w:t>pandrecht</w:t>
      </w:r>
      <w:r>
        <w:rPr>
          <w:rFonts w:ascii="Times New Roman" w:cs="Times New Roman" w:eastAsia="Times New Roman" w:hAnsi="Times New Roman"/>
          <w:sz w:val="17"/>
          <w:szCs w:val="17"/>
          <w:color w:val="auto"/>
        </w:rPr>
        <w:t>) or which are held by a subsidiary of the company, would not exceed 50% of its then-current issued share capital. Such company may only acquire its own shares if its general meeting has granted the management board the authority to effect such acquisitions.</w:t>
      </w:r>
    </w:p>
    <w:p>
      <w:pPr>
        <w:spacing w:after="0" w:line="175" w:lineRule="exact"/>
        <w:rPr>
          <w:sz w:val="20"/>
          <w:szCs w:val="20"/>
          <w:color w:val="auto"/>
        </w:rPr>
      </w:pPr>
    </w:p>
    <w:p>
      <w:pPr>
        <w:ind w:right="160" w:firstLine="318"/>
        <w:spacing w:after="0" w:line="266" w:lineRule="auto"/>
        <w:rPr>
          <w:sz w:val="20"/>
          <w:szCs w:val="20"/>
          <w:color w:val="auto"/>
        </w:rPr>
      </w:pPr>
      <w:r>
        <w:rPr>
          <w:rFonts w:ascii="Times New Roman" w:cs="Times New Roman" w:eastAsia="Times New Roman" w:hAnsi="Times New Roman"/>
          <w:sz w:val="17"/>
          <w:szCs w:val="17"/>
          <w:color w:val="auto"/>
        </w:rPr>
        <w:t>An acquisition of shares for a consideration must be authorized by our general meeting. Such authorization may be granted for a maximum period of 18 months and must specify the number of shares that may be acquired, the manner in which shares may be acquired and the price limits within which ordinary shares may be acquired. The actual acquisition may only be effected pursuant to a resolution of our management board, with the approval of our supervisory board. Our management board has been authorized until the date that is</w:t>
      </w:r>
    </w:p>
    <w:p>
      <w:pPr>
        <w:spacing w:after="0" w:line="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18 months following the pricing of our IPO to cause the repurchase of shares (or depository receipts for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72"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No authorization of the general meeting is required if fully paid ordinary shares are acquired by us with the intention of transferring such ordinary shares to our employees under an applicable employee share purchase plan.</w:t>
      </w:r>
    </w:p>
    <w:p>
      <w:pPr>
        <w:spacing w:after="0" w:line="162"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 corporation may purchase or redeem its own shares unless the capital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18" w:lineRule="exact"/>
        <w:rPr>
          <w:sz w:val="20"/>
          <w:szCs w:val="20"/>
          <w:color w:val="auto"/>
        </w:rPr>
      </w:pPr>
    </w:p>
    <w:p>
      <w:pPr>
        <w:jc w:val="both"/>
        <w:ind w:right="20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various protective measures are possible and permissible within the boundaries set by Dutch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Dutch case law. In this respect, certain provisions of our articles of association may make it more difficult for a third party to acquire control of us or effect a change in our management board and supervisory board. These provisions include:</w:t>
      </w:r>
    </w:p>
    <w:p>
      <w:pPr>
        <w:spacing w:after="0" w:line="176" w:lineRule="exact"/>
        <w:rPr>
          <w:sz w:val="20"/>
          <w:szCs w:val="20"/>
          <w:color w:val="auto"/>
        </w:rPr>
      </w:pPr>
    </w:p>
    <w:p>
      <w:pPr>
        <w:ind w:left="680" w:right="220" w:hanging="328"/>
        <w:spacing w:after="0" w:line="274" w:lineRule="auto"/>
        <w:tabs>
          <w:tab w:leader="none" w:pos="68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dual-class share structure which consists of ordinary shares and high voting shares, with ordinary shares carrying one vote per share and high voting shares carrying 25 votes per share;</w:t>
      </w:r>
    </w:p>
    <w:p>
      <w:pPr>
        <w:spacing w:after="0" w:line="164" w:lineRule="exact"/>
        <w:rPr>
          <w:rFonts w:ascii="Times New Roman" w:cs="Times New Roman" w:eastAsia="Times New Roman" w:hAnsi="Times New Roman"/>
          <w:sz w:val="18"/>
          <w:szCs w:val="18"/>
          <w:color w:val="231F20"/>
        </w:rPr>
      </w:pPr>
    </w:p>
    <w:p>
      <w:pPr>
        <w:ind w:left="680" w:right="20" w:hanging="328"/>
        <w:spacing w:after="0" w:line="260" w:lineRule="auto"/>
        <w:tabs>
          <w:tab w:leader="none" w:pos="68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that each of Laurin Hahn and Jona Christians, two of our founders, as long as he holds at least 5% of our voting rights, can each make a binding nomination for the appointment of one supervisory board member, which can only be overruled by a two-thirds majority of votes cast representing more than 50% of our issued share capital;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hanging="328"/>
        <w:spacing w:after="0" w:line="255" w:lineRule="auto"/>
        <w:tabs>
          <w:tab w:leader="none" w:pos="6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that our management board members and the supervisory board members not appointed on the basis of a binding nomination by Laurin Hahn or Jona Christians as described above are appointed on the basis of a binding nomination prepared by our supervisory board which can only be overruled by a two-thirds majority of votes cast representing more than half of our issued share capital;</w:t>
      </w:r>
    </w:p>
    <w:p>
      <w:pPr>
        <w:spacing w:after="0" w:line="181" w:lineRule="exact"/>
        <w:rPr>
          <w:rFonts w:ascii="Times New Roman" w:cs="Times New Roman" w:eastAsia="Times New Roman" w:hAnsi="Times New Roman"/>
          <w:sz w:val="18"/>
          <w:szCs w:val="18"/>
          <w:color w:val="231F20"/>
        </w:rPr>
      </w:pPr>
    </w:p>
    <w:p>
      <w:pPr>
        <w:jc w:val="both"/>
        <w:ind w:left="680" w:right="140" w:hanging="328"/>
        <w:spacing w:after="0" w:line="260" w:lineRule="auto"/>
        <w:tabs>
          <w:tab w:leader="none" w:pos="6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that our management board members and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176" w:lineRule="exact"/>
        <w:rPr>
          <w:rFonts w:ascii="Times New Roman" w:cs="Times New Roman" w:eastAsia="Times New Roman" w:hAnsi="Times New Roman"/>
          <w:sz w:val="18"/>
          <w:szCs w:val="18"/>
          <w:color w:val="231F20"/>
        </w:rPr>
      </w:pPr>
    </w:p>
    <w:p>
      <w:pPr>
        <w:ind w:left="680" w:right="140" w:hanging="328"/>
        <w:spacing w:after="0" w:line="255" w:lineRule="auto"/>
        <w:tabs>
          <w:tab w:leader="none" w:pos="6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181" w:lineRule="exact"/>
        <w:rPr>
          <w:rFonts w:ascii="Times New Roman" w:cs="Times New Roman" w:eastAsia="Times New Roman" w:hAnsi="Times New Roman"/>
          <w:sz w:val="18"/>
          <w:szCs w:val="18"/>
          <w:color w:val="231F20"/>
        </w:rPr>
      </w:pPr>
    </w:p>
    <w:p>
      <w:pPr>
        <w:ind w:left="680" w:right="400" w:hanging="328"/>
        <w:spacing w:after="0" w:line="274" w:lineRule="auto"/>
        <w:tabs>
          <w:tab w:leader="none" w:pos="6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requirement that certain matters, including an amendment of our articles of association, may only be brought to our general meeting for a vote upon a proposal by our management board with the approval of our supervisory board.</w:t>
      </w:r>
    </w:p>
    <w:p>
      <w:pPr>
        <w:spacing w:after="0" w:line="164"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8"/>
          <w:szCs w:val="18"/>
          <w:color w:val="auto"/>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spacing w:after="0" w:line="176"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Furthermore, our management board may, under certain circumstances, invoke a reasonable period of up to 180 days to respond to certain shareholder proposals or a statutory cooling-off period of up to 250 days to respond to certain shareholder proposals or a hostile bid. See above under “</w:t>
      </w: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1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In addition to other aspects of Delaware law governing fiduciary duties of directors during a potential takeover,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80"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176" w:lineRule="exact"/>
        <w:rPr>
          <w:sz w:val="20"/>
          <w:szCs w:val="20"/>
          <w:color w:val="auto"/>
        </w:rPr>
      </w:pPr>
    </w:p>
    <w:p>
      <w:pPr>
        <w:ind w:left="680" w:right="240" w:hanging="328"/>
        <w:spacing w:after="0" w:line="274" w:lineRule="auto"/>
        <w:tabs>
          <w:tab w:leader="none" w:pos="68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transaction that will cause the person to become an interested stockholder is approved by the board of directors of the target prior to the transactions;</w:t>
      </w:r>
    </w:p>
    <w:p>
      <w:pPr>
        <w:spacing w:after="0" w:line="164" w:lineRule="exact"/>
        <w:rPr>
          <w:rFonts w:ascii="Times New Roman" w:cs="Times New Roman" w:eastAsia="Times New Roman" w:hAnsi="Times New Roman"/>
          <w:sz w:val="18"/>
          <w:szCs w:val="18"/>
          <w:color w:val="231F20"/>
        </w:rPr>
      </w:pPr>
    </w:p>
    <w:p>
      <w:pPr>
        <w:ind w:left="680" w:right="20" w:hanging="328"/>
        <w:spacing w:after="0" w:line="260" w:lineRule="auto"/>
        <w:tabs>
          <w:tab w:leader="none" w:pos="68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76" w:lineRule="exact"/>
        <w:rPr>
          <w:rFonts w:ascii="Times New Roman" w:cs="Times New Roman" w:eastAsia="Times New Roman" w:hAnsi="Times New Roman"/>
          <w:sz w:val="18"/>
          <w:szCs w:val="18"/>
          <w:color w:val="231F20"/>
        </w:rPr>
      </w:pPr>
    </w:p>
    <w:p>
      <w:pPr>
        <w:ind w:left="680" w:right="280" w:hanging="328"/>
        <w:spacing w:after="0" w:line="304" w:lineRule="auto"/>
        <w:tabs>
          <w:tab w:leader="none" w:pos="680" w:val="left"/>
        </w:tabs>
        <w:numPr>
          <w:ilvl w:val="0"/>
          <w:numId w:val="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2"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218" w:lineRule="exact"/>
        <w:rPr>
          <w:sz w:val="20"/>
          <w:szCs w:val="20"/>
          <w:color w:val="auto"/>
        </w:rPr>
      </w:pPr>
    </w:p>
    <w:p>
      <w:pPr>
        <w:jc w:val="both"/>
        <w:ind w:right="14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The management board and the supervisory board provide the general meeting, within a reasonable amount of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information that the shareholders require for the exercise of their powers, unless this would be contrary to an overriding interest of our Company. If the management board or supervisory board invokes such an overriding interest, it must give reasons.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760" w:firstLine="353"/>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any stockholder may inspect for any proper purpose certain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books and records during the corporation’s usual hours of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Dismissal of Directors</w:t>
      </w:r>
    </w:p>
    <w:p>
      <w:pPr>
        <w:spacing w:after="0" w:line="218"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The Netherlands. </w:t>
      </w:r>
      <w:r>
        <w:rPr>
          <w:rFonts w:ascii="Times New Roman" w:cs="Times New Roman" w:eastAsia="Times New Roman" w:hAnsi="Times New Roman"/>
          <w:sz w:val="17"/>
          <w:szCs w:val="17"/>
          <w:color w:val="auto"/>
        </w:rPr>
        <w:t>Under our articles of association, the general meeting shall at all times be entitled to dismiss a management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 or supervisory board member. The general meeting may only adopt a resolution to suspend or dismiss a management board member or supervisory board member by at least a two-thirds majority of the votes cast, provided that such majority represents more than half of the issued share capital, unless the proposal was made by the supervisory board, in which latter case a simple majority is sufficient.</w:t>
      </w:r>
    </w:p>
    <w:p>
      <w:pPr>
        <w:spacing w:after="0" w:line="16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any director or the entire board of directors may be removed, with or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or she is a 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Shares</w:t>
      </w:r>
    </w:p>
    <w:p>
      <w:pPr>
        <w:spacing w:after="0" w:line="218" w:lineRule="exact"/>
        <w:rPr>
          <w:sz w:val="20"/>
          <w:szCs w:val="20"/>
          <w:color w:val="auto"/>
        </w:rPr>
      </w:pPr>
    </w:p>
    <w:p>
      <w:pPr>
        <w:ind w:right="1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a company’s general meeting is the corporate body authorized to resolve on the issuance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granting of rights to subscribe for shares. The general meeting can delegate such authority to another corporate body of the company, such as the management board, for a period not exceeding five years; this authorization may only be extended from time to time for a maximum period of five years.</w:t>
      </w:r>
    </w:p>
    <w:p>
      <w:pPr>
        <w:spacing w:after="0" w:line="180" w:lineRule="exact"/>
        <w:rPr>
          <w:sz w:val="20"/>
          <w:szCs w:val="20"/>
          <w:color w:val="auto"/>
        </w:rPr>
      </w:pPr>
    </w:p>
    <w:p>
      <w:pPr>
        <w:ind w:right="180" w:firstLine="318"/>
        <w:spacing w:after="0" w:line="304" w:lineRule="auto"/>
        <w:rPr>
          <w:sz w:val="20"/>
          <w:szCs w:val="20"/>
          <w:color w:val="auto"/>
        </w:rPr>
      </w:pPr>
      <w:r>
        <w:rPr>
          <w:rFonts w:ascii="Times New Roman" w:cs="Times New Roman" w:eastAsia="Times New Roman" w:hAnsi="Times New Roman"/>
          <w:sz w:val="17"/>
          <w:szCs w:val="17"/>
          <w:color w:val="auto"/>
        </w:rPr>
        <w:t>Our management board has been authorized until the fifth anniversary of the pricing of our IPO to issue shares (of any class) or grant rights to subscribe for shares up to our authorized share capital from time to time. We may not subscribe for our own shares on issue.</w:t>
      </w:r>
    </w:p>
    <w:p>
      <w:pPr>
        <w:spacing w:after="0" w:line="140" w:lineRule="exact"/>
        <w:rPr>
          <w:sz w:val="20"/>
          <w:szCs w:val="20"/>
          <w:color w:val="auto"/>
        </w:rPr>
      </w:pPr>
    </w:p>
    <w:p>
      <w:pPr>
        <w:ind w:right="380" w:firstLine="353"/>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All creation of shares require the board of directors to adopt a resolution or resolutions, pursuant to authority expressly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in the board of directors by the provisions of the company’s certificate of incorporation.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218"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in the event of an issuance of shares, each shareholder will have a pro rata preemptive right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to the aggregate nominal value of the shares held by such holder (with the exception of shares to be issued to employees or shares issued against a contribution other than in cash or pursuant to the exercise of a previously acquired right to subscribe for shares). Under our articles of association, the preemptive rights in respect of newly issued shares may be restricted or excluded by a resolution of the general meeting. Another corporate body, such as the management board, may restrict or exclude the preemptive rights in respect of newly issued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 Our management board has been authorized until the fifth anniversary of the pricing of our IPO to limit or exclude preemptive rights in relation to an issuance of shares or a grant of rights to subscribe for shares that the management board is authorized to resolve upon (see above under “Issuance of Shares”).</w:t>
      </w:r>
    </w:p>
    <w:p>
      <w:pPr>
        <w:spacing w:after="0" w:line="185" w:lineRule="exact"/>
        <w:rPr>
          <w:sz w:val="20"/>
          <w:szCs w:val="20"/>
          <w:color w:val="auto"/>
        </w:rPr>
      </w:pPr>
    </w:p>
    <w:p>
      <w:pPr>
        <w:jc w:val="both"/>
        <w:ind w:right="1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stockholders have no preemptive rights to subscribe for additional issues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to any security convertible into such stock unless, and to the extent that, such rights are expressly provided for in the certificate of incorporation.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18"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Dutch law provides that dividends (if it concerns a distribution of profits) may be distributed after adoption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accounts by the general meeting from which it appears that such dividend distribution is allowed. Moreover, dividends may be distributed, whether as a distribution of profits or of freely distributable reserves, only to the extent the shareholders’ equity exceeds the amount of the paid-in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paid-in and called-up issued share capital plus any reserves as described above as apparent from our consolidated interim financial statements prepared under Dutch law.</w:t>
      </w:r>
    </w:p>
    <w:p>
      <w:pPr>
        <w:spacing w:after="0" w:line="185"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Under our articles of association, our management board, with the approval of our supervisory board, may decide that all or part of the profits are carried to reserves. After the reservation of any profit, the remaining profit will be at the disposal of the general meeting at the proposal of the management board for distribution on the shares, subject to restrictions of Dutch law and approval by our supervisory board of such proposal of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 Delaware corporation may pay dividends out of its surplus (the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common stock, property or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Vote on Certain Reorganizations</w:t>
      </w:r>
    </w:p>
    <w:p>
      <w:pPr>
        <w:spacing w:after="0" w:line="218" w:lineRule="exact"/>
        <w:rPr>
          <w:sz w:val="20"/>
          <w:szCs w:val="20"/>
          <w:color w:val="auto"/>
        </w:rPr>
      </w:pPr>
    </w:p>
    <w:p>
      <w:pPr>
        <w:ind w:right="26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the general meeting must approve resolutions of the management board relating to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the identity or the character of the company or the business of the company, which includes:</w:t>
      </w:r>
    </w:p>
    <w:p>
      <w:pPr>
        <w:spacing w:after="0" w:line="163" w:lineRule="exact"/>
        <w:rPr>
          <w:sz w:val="20"/>
          <w:szCs w:val="20"/>
          <w:color w:val="auto"/>
        </w:rPr>
      </w:pPr>
    </w:p>
    <w:p>
      <w:pPr>
        <w:ind w:left="680" w:hanging="328"/>
        <w:spacing w:after="0"/>
        <w:tabs>
          <w:tab w:leader="none" w:pos="68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transfer of the business or virtually the entire business to a third party;</w:t>
      </w:r>
    </w:p>
    <w:p>
      <w:pPr>
        <w:spacing w:after="0" w:line="217" w:lineRule="exact"/>
        <w:rPr>
          <w:rFonts w:ascii="Times New Roman" w:cs="Times New Roman" w:eastAsia="Times New Roman" w:hAnsi="Times New Roman"/>
          <w:sz w:val="18"/>
          <w:szCs w:val="18"/>
          <w:color w:val="231F20"/>
        </w:rPr>
      </w:pPr>
    </w:p>
    <w:p>
      <w:pPr>
        <w:ind w:left="680" w:right="20" w:hanging="328"/>
        <w:spacing w:after="0" w:line="260" w:lineRule="auto"/>
        <w:tabs>
          <w:tab w:leader="none" w:pos="68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76" w:lineRule="exact"/>
        <w:rPr>
          <w:rFonts w:ascii="Times New Roman" w:cs="Times New Roman" w:eastAsia="Times New Roman" w:hAnsi="Times New Roman"/>
          <w:sz w:val="18"/>
          <w:szCs w:val="18"/>
          <w:color w:val="231F20"/>
        </w:rPr>
      </w:pPr>
    </w:p>
    <w:p>
      <w:pPr>
        <w:ind w:left="680" w:right="40" w:hanging="328"/>
        <w:spacing w:after="0" w:line="282" w:lineRule="auto"/>
        <w:tabs>
          <w:tab w:leader="none" w:pos="680" w:val="left"/>
        </w:tabs>
        <w:numPr>
          <w:ilvl w:val="0"/>
          <w:numId w:val="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acquisition or divestment by the company or a subsidiary of a participating interest in the capital of a company having a value of at least one-third of the amount of its assets according to its </w:t>
      </w:r>
      <w:r>
        <w:rPr>
          <w:rFonts w:ascii="Times New Roman" w:cs="Times New Roman" w:eastAsia="Times New Roman" w:hAnsi="Times New Roman"/>
          <w:sz w:val="17"/>
          <w:szCs w:val="17"/>
          <w:color w:val="000000"/>
        </w:rPr>
        <w:t>balance sheet and explanatory notes or, if the company prepares a</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balance sheet, according to its balance sheet and explanatory notes in the last adopted annual accounts of the company.</w:t>
      </w:r>
    </w:p>
    <w:p>
      <w:pPr>
        <w:spacing w:after="0" w:line="158" w:lineRule="exact"/>
        <w:rPr>
          <w:sz w:val="20"/>
          <w:szCs w:val="20"/>
          <w:color w:val="auto"/>
        </w:rPr>
      </w:pPr>
    </w:p>
    <w:p>
      <w:pPr>
        <w:ind w:right="100" w:firstLine="318"/>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Delaware. </w:t>
      </w:r>
      <w:r>
        <w:rPr>
          <w:rFonts w:ascii="Times New Roman" w:cs="Times New Roman" w:eastAsia="Times New Roman" w:hAnsi="Times New Roman"/>
          <w:sz w:val="17"/>
          <w:szCs w:val="17"/>
          <w:color w:val="auto"/>
        </w:rPr>
        <w:t>Under the Delaware General Corporation Law, the vote of a majority of the outstanding shares of capital stock entitled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Remuneration of Management Board Members and Supervisory Board Members</w:t>
      </w:r>
    </w:p>
    <w:p>
      <w:pPr>
        <w:spacing w:after="0" w:line="218"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and our articles of association, we must adopt a compensation policy for our management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compensation policy and any changes thereto shall require the adoption by the general meeting. The supervisory board determines the remuneration of individual management board members with due observance of the compensation policy at the recommendation of our compensation committee. A proposal with respect to remuneration schemes in the form of shares or rights to shares in which management board members may participate is subject to approval by our general meeting. Such a proposal must set out at least the maximum number of shares or rights to subscribe for shares to be granted to the management board and the criteria for granting or amendment. The compensation for our supervisory board members is set by the general meeting.</w:t>
      </w:r>
    </w:p>
    <w:p>
      <w:pPr>
        <w:spacing w:after="0" w:line="183"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the stockholders do not generally have the right to approve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for directors or the senior management of the corporation, although certain aspects of the compensation policy may be subject to stockholder vote due to the provisions of U.S. federal securities and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ELIGIBLE FOR FUTURE SALE</w:t>
      </w:r>
    </w:p>
    <w:p>
      <w:pPr>
        <w:spacing w:after="0" w:line="220"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Our ordinary shares are listed on Nasdaq, under the symbol “SEV.” Future sales of substantial amounts of our ordinary shares in the public market could adversely affect market prices prevailing from time to time.</w:t>
      </w:r>
    </w:p>
    <w:p>
      <w:pPr>
        <w:spacing w:after="0" w:line="16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As of October 6, 2022, we had 84,868,774 ordinary shares and 3,000,000 high voting shares outstanding. All of the ordinary shares sold in this offering will be freely transferable without restriction or further registration under the Securities Act. In addition, all of our ordinary shares outstanding before this offering will be freely transferable and may be resold without restriction or further registration under the Securities Act except for any ordinary shares held by our “affiliates.” Under Rule 144 of the Securities Act, an “affiliate” of a company is a person that directly or indirectly controls, is controlled by or is under common control with that company. Affiliates may sell only the volume of shares described below and their sales are subject to additional restrictions described below. As a result of the provisions of Rules 144 and 701, these shares will be available for sale in the public market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0"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In general, under Rule 144 under the Securities Act as in effect on the date of this prospectus,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ordinary shares that are restricted shares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189" w:lineRule="exact"/>
        <w:rPr>
          <w:sz w:val="20"/>
          <w:szCs w:val="20"/>
          <w:color w:val="auto"/>
        </w:rPr>
      </w:pPr>
    </w:p>
    <w:p>
      <w:pPr>
        <w:ind w:left="680" w:hanging="328"/>
        <w:spacing w:after="0"/>
        <w:tabs>
          <w:tab w:leader="none" w:pos="680"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of the number of ordinary shares then outstanding; and</w:t>
      </w:r>
    </w:p>
    <w:p>
      <w:pPr>
        <w:spacing w:after="0" w:line="217" w:lineRule="exact"/>
        <w:rPr>
          <w:rFonts w:ascii="Times New Roman" w:cs="Times New Roman" w:eastAsia="Times New Roman" w:hAnsi="Times New Roman"/>
          <w:sz w:val="18"/>
          <w:szCs w:val="18"/>
          <w:color w:val="231F20"/>
        </w:rPr>
      </w:pPr>
    </w:p>
    <w:p>
      <w:pPr>
        <w:ind w:left="680" w:right="320" w:hanging="328"/>
        <w:spacing w:after="0" w:line="255" w:lineRule="auto"/>
        <w:tabs>
          <w:tab w:leader="none" w:pos="680"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average weekly trading volume of our ordinary shares on Nasdaq during the four calendar weeks preceding the filing of a notice on Form 144 with respect to the sale; provided, in each case, that we are subject to the Exchange Act periodic reporting requirements for at least 90 days before the sale. Such sales both by affiliates and by non-affiliates must also comply with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manner of sale, current public information and notice provisions of Rule 144 to the extent applicable.</w:t>
      </w:r>
    </w:p>
    <w:p>
      <w:pPr>
        <w:spacing w:after="0" w:line="182"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Sales of restricted ordinary shares under Rule 144 held by our affiliates are also subject to requirements regarding the manner of sale, notice and the availability of current public information about us. Rule 144 also requires that affiliates relying on Rule 144 to sell ordinary shares that are not restricted shares must nonetheless comply with the same restrictions applicable to restricted shares, other than the holding period requirement.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220"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Regulation S under the Securities Act provides that ordinary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may be sold outside the United States without registration in the United States being required.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0"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color w:val="auto"/>
        </w:rPr>
        <w:t>Under Rule 701 under the Securities Act, ordinary shares acquired by any of our employees, management board members, supervisory board members, consultants or advisors upon the exercise of options or pursuant to other rights granted under a written compensatory stock or option plan or other written agreement in compliance with Rule 701 may be resold, by:</w:t>
      </w:r>
    </w:p>
    <w:p>
      <w:pPr>
        <w:spacing w:after="0" w:line="176" w:lineRule="exact"/>
        <w:rPr>
          <w:sz w:val="20"/>
          <w:szCs w:val="20"/>
          <w:color w:val="auto"/>
        </w:rPr>
      </w:pPr>
    </w:p>
    <w:p>
      <w:pPr>
        <w:ind w:left="680" w:hanging="328"/>
        <w:spacing w:after="0"/>
        <w:tabs>
          <w:tab w:leader="none" w:pos="68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persons other than affiliates, subject only to the manner-of-sale provisions of Rule 144; and</w:t>
      </w:r>
    </w:p>
    <w:p>
      <w:pPr>
        <w:spacing w:after="0" w:line="217" w:lineRule="exact"/>
        <w:rPr>
          <w:rFonts w:ascii="Times New Roman" w:cs="Times New Roman" w:eastAsia="Times New Roman" w:hAnsi="Times New Roman"/>
          <w:sz w:val="18"/>
          <w:szCs w:val="18"/>
          <w:color w:val="231F20"/>
        </w:rPr>
      </w:pPr>
    </w:p>
    <w:p>
      <w:pPr>
        <w:ind w:left="680" w:right="660" w:hanging="328"/>
        <w:spacing w:after="0" w:line="274" w:lineRule="auto"/>
        <w:tabs>
          <w:tab w:leader="none" w:pos="68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affiliates, subject to the manner-of-sale and volume limitations, current public information and filing requirements of Rule 144, in each case, without compliance with the six-month holding period requirement of Rule 144.</w:t>
      </w:r>
    </w:p>
    <w:p>
      <w:pPr>
        <w:spacing w:after="0" w:line="164"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the prospectus for our IPO. Securities issued in reliance on Rule 701 are restricted securities and, subject to the contractual restrictions described above, beginning 90 days after the date of the prospectus for our IPO, may be sold by persons other than “affiliates,” as defined in Rule 144, subject only to the manner of sale provisions of Rule 144 and by “affiliates” under Rule 144 without compliance with its one-year minimum holding period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18"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i w:val="1"/>
          <w:iCs w:val="1"/>
          <w:color w:val="auto"/>
        </w:rPr>
        <w:t>The following summary contains a description of Dutch, German and U.S. federal income tax considerations generally applicable to the acquisition, ownership and disposition of ordinary shares, but it does not purport to be a comprehensive description of all the tax considerations that may be relevant to a decision to purchase ordinary shares. The summary is based upon the tax laws of The Netherlands and regulations thereunder, the tax laws of Germany and regulations thereunder and the tax laws of the United States and regulations thereunder as of the date hereof, which are subject to change. The discussion in this section reflects the views of NautaDutilh N.V. insofar as it relates to matters of Dutch tax law, Ebner Stolz Mönning Bachem Wirtschaftsprüfer Steuerberater Rechtsanwälte Partnerschaft mbB insofar as it relates to matters of German tax law and Sullivan &amp; Cromwell LLP insofar as it relates to matters of United States federal income tax law. You should consult your tax advisor regarding the applicable tax consequences to you of investing in our ordinary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Dutch Tax Considerations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2"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material Dutch tax consequences of the acquisition, ownership and disposal of our ordinary shares. This summary does not purport to set forth all possible tax considerations or consequences that may be relevant to a holder or prospective holder or our ordinary shares and does not purport to deal with the tax consequences applicable to all categories of investors, some of which (such as trusts or similar arrangements) may be subject to special rules. In view of its general nature, it should be treated with corresponding caution.</w:t>
      </w:r>
    </w:p>
    <w:p>
      <w:pPr>
        <w:spacing w:after="0" w:line="182" w:lineRule="exact"/>
        <w:rPr>
          <w:sz w:val="20"/>
          <w:szCs w:val="20"/>
          <w:color w:val="auto"/>
        </w:rPr>
      </w:pPr>
    </w:p>
    <w:p>
      <w:pPr>
        <w:jc w:val="both"/>
        <w:ind w:right="140" w:firstLine="318"/>
        <w:spacing w:after="0" w:line="260" w:lineRule="auto"/>
        <w:rPr>
          <w:sz w:val="20"/>
          <w:szCs w:val="20"/>
          <w:color w:val="auto"/>
        </w:rPr>
      </w:pPr>
      <w:r>
        <w:rPr>
          <w:rFonts w:ascii="Times New Roman" w:cs="Times New Roman" w:eastAsia="Times New Roman" w:hAnsi="Times New Roman"/>
          <w:sz w:val="18"/>
          <w:szCs w:val="18"/>
          <w:color w:val="auto"/>
        </w:rPr>
        <w:t>This summary is based on the tax laws of The Netherlands, published regulations thereunder and published authoritative case law, all as in effect on the date hereof, and all of which are subject to change, possibly with retroactive effect. Where the summary refers to “The Netherlands” or “Dutch” it refers only to the part of the Kingdom of The Netherlands located in Europe.</w:t>
      </w:r>
    </w:p>
    <w:p>
      <w:pPr>
        <w:spacing w:after="0" w:line="176"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This discussion is for general information purposes only and is not Dutch tax advice or a complete description of all Dutch tax consequences relating to the acquisition, ownership and disposal of our ordinary shares. Holders or prospective holders of our ordinary shares should consult their own tax advisor regarding the Dutch tax consequences relating to the acquisition, holding and disposal of our ordinary shares in light of their particular circumstances.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Please note that this section does not set forth the tax considerations for:</w:t>
      </w:r>
    </w:p>
    <w:p>
      <w:pPr>
        <w:spacing w:after="0" w:line="216" w:lineRule="exact"/>
        <w:rPr>
          <w:sz w:val="20"/>
          <w:szCs w:val="20"/>
          <w:color w:val="auto"/>
        </w:rPr>
      </w:pPr>
    </w:p>
    <w:p>
      <w:pPr>
        <w:ind w:left="680" w:hanging="328"/>
        <w:spacing w:after="0" w:line="249" w:lineRule="auto"/>
        <w:tabs>
          <w:tab w:leader="none" w:pos="68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holders of ordinary shares if such holders have a substantial interest (</w:t>
      </w:r>
      <w:r>
        <w:rPr>
          <w:rFonts w:ascii="Times New Roman" w:cs="Times New Roman" w:eastAsia="Times New Roman" w:hAnsi="Times New Roman"/>
          <w:sz w:val="18"/>
          <w:szCs w:val="18"/>
          <w:i w:val="1"/>
          <w:iCs w:val="1"/>
          <w:color w:val="231F20"/>
        </w:rPr>
        <w:t>aanmerkelijk belang</w:t>
      </w:r>
      <w:r>
        <w:rPr>
          <w:rFonts w:ascii="Times New Roman" w:cs="Times New Roman" w:eastAsia="Times New Roman" w:hAnsi="Times New Roman"/>
          <w:sz w:val="18"/>
          <w:szCs w:val="18"/>
          <w:color w:val="231F20"/>
        </w:rPr>
        <w:t>) or deemed substantial interest (</w:t>
      </w:r>
      <w:r>
        <w:rPr>
          <w:rFonts w:ascii="Times New Roman" w:cs="Times New Roman" w:eastAsia="Times New Roman" w:hAnsi="Times New Roman"/>
          <w:sz w:val="18"/>
          <w:szCs w:val="18"/>
          <w:i w:val="1"/>
          <w:iCs w:val="1"/>
          <w:color w:val="231F20"/>
        </w:rPr>
        <w:t>fictief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aanmerkelijk belang</w:t>
      </w:r>
      <w:r>
        <w:rPr>
          <w:rFonts w:ascii="Times New Roman" w:cs="Times New Roman" w:eastAsia="Times New Roman" w:hAnsi="Times New Roman"/>
          <w:sz w:val="18"/>
          <w:szCs w:val="18"/>
          <w:color w:val="231F20"/>
        </w:rPr>
        <w:t>) in us under the Dutch Income Tax Act 2001 (</w:t>
      </w:r>
      <w:r>
        <w:rPr>
          <w:rFonts w:ascii="Times New Roman" w:cs="Times New Roman" w:eastAsia="Times New Roman" w:hAnsi="Times New Roman"/>
          <w:sz w:val="18"/>
          <w:szCs w:val="18"/>
          <w:i w:val="1"/>
          <w:iCs w:val="1"/>
          <w:color w:val="231F20"/>
        </w:rPr>
        <w:t>Wet inkomstenbelasting 2001</w:t>
      </w:r>
      <w:r>
        <w:rPr>
          <w:rFonts w:ascii="Times New Roman" w:cs="Times New Roman" w:eastAsia="Times New Roman" w:hAnsi="Times New Roman"/>
          <w:sz w:val="18"/>
          <w:szCs w:val="18"/>
          <w:color w:val="231F20"/>
        </w:rPr>
        <w:t>). Generally, a holder of securities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in a company is considered to hold </w:t>
      </w:r>
      <w:r>
        <w:rPr>
          <w:rFonts w:ascii="Times New Roman" w:cs="Times New Roman" w:eastAsia="Times New Roman" w:hAnsi="Times New Roman"/>
          <w:sz w:val="18"/>
          <w:szCs w:val="18"/>
          <w:color w:val="000000"/>
        </w:rPr>
        <w:t>a substantial interest in such company if such holder alone or, in the case of individuals,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together with such holder’s partner for Dutch income tax purposes, or any relative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and/or to 5% or more of the company’s liquidation proceeds. A deemed substantial interest may arise if a substantial interest (or part thereof) in a company has been disposed of, or is deemed to have been disposed of, on a non-recognition basis;</w:t>
      </w:r>
    </w:p>
    <w:p>
      <w:pPr>
        <w:spacing w:after="0" w:line="187" w:lineRule="exact"/>
        <w:rPr>
          <w:rFonts w:ascii="Times New Roman" w:cs="Times New Roman" w:eastAsia="Times New Roman" w:hAnsi="Times New Roman"/>
          <w:sz w:val="18"/>
          <w:szCs w:val="18"/>
          <w:color w:val="231F20"/>
        </w:rPr>
      </w:pPr>
    </w:p>
    <w:p>
      <w:pPr>
        <w:ind w:left="680" w:right="300" w:hanging="328"/>
        <w:spacing w:after="0" w:line="253" w:lineRule="auto"/>
        <w:tabs>
          <w:tab w:leader="none" w:pos="68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holders of ordinary shares if the ordinary shares held by such holders qualify or qualified as a participation (</w:t>
      </w:r>
      <w:r>
        <w:rPr>
          <w:rFonts w:ascii="Times New Roman" w:cs="Times New Roman" w:eastAsia="Times New Roman" w:hAnsi="Times New Roman"/>
          <w:sz w:val="18"/>
          <w:szCs w:val="18"/>
          <w:i w:val="1"/>
          <w:iCs w:val="1"/>
          <w:color w:val="231F20"/>
        </w:rPr>
        <w:t>deelneming</w:t>
      </w:r>
      <w:r>
        <w:rPr>
          <w:rFonts w:ascii="Times New Roman" w:cs="Times New Roman" w:eastAsia="Times New Roman" w:hAnsi="Times New Roman"/>
          <w:sz w:val="18"/>
          <w:szCs w:val="18"/>
          <w:color w:val="231F20"/>
        </w:rPr>
        <w:t>) for purposes of the Dutch Corporate Income Tax Act 1969 (</w:t>
      </w:r>
      <w:r>
        <w:rPr>
          <w:rFonts w:ascii="Times New Roman" w:cs="Times New Roman" w:eastAsia="Times New Roman" w:hAnsi="Times New Roman"/>
          <w:sz w:val="18"/>
          <w:szCs w:val="18"/>
          <w:i w:val="1"/>
          <w:iCs w:val="1"/>
          <w:color w:val="231F20"/>
        </w:rPr>
        <w:t>Wet op de vennootschapsbelasting 1969</w:t>
      </w:r>
      <w:r>
        <w:rPr>
          <w:rFonts w:ascii="Times New Roman" w:cs="Times New Roman" w:eastAsia="Times New Roman" w:hAnsi="Times New Roman"/>
          <w:sz w:val="18"/>
          <w:szCs w:val="18"/>
          <w:color w:val="231F20"/>
        </w:rPr>
        <w:t>). Generally, a holder’s shareholding of 5% or more in our nominal paid-in share capital qualifies as a participation. A holder may also have a participation if (a) such holder does not have a shareholding of 5% or more but a related entity (statutorily defined term) has a participation or (b) the company in which the shares are held is a related entity (statutorily defined term);</w:t>
      </w:r>
    </w:p>
    <w:p>
      <w:pPr>
        <w:spacing w:after="0" w:line="182" w:lineRule="exact"/>
        <w:rPr>
          <w:rFonts w:ascii="Times New Roman" w:cs="Times New Roman" w:eastAsia="Times New Roman" w:hAnsi="Times New Roman"/>
          <w:sz w:val="18"/>
          <w:szCs w:val="18"/>
          <w:color w:val="231F20"/>
        </w:rPr>
      </w:pPr>
    </w:p>
    <w:p>
      <w:pPr>
        <w:ind w:left="680" w:right="100" w:hanging="328"/>
        <w:spacing w:after="0" w:line="272" w:lineRule="auto"/>
        <w:tabs>
          <w:tab w:leader="none" w:pos="68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pension funds, investment institutions (</w:t>
      </w:r>
      <w:r>
        <w:rPr>
          <w:rFonts w:ascii="Times New Roman" w:cs="Times New Roman" w:eastAsia="Times New Roman" w:hAnsi="Times New Roman"/>
          <w:sz w:val="17"/>
          <w:szCs w:val="17"/>
          <w:i w:val="1"/>
          <w:iCs w:val="1"/>
          <w:color w:val="231F20"/>
        </w:rPr>
        <w:t>fiscale beleggingsinstellingen</w:t>
      </w:r>
      <w:r>
        <w:rPr>
          <w:rFonts w:ascii="Times New Roman" w:cs="Times New Roman" w:eastAsia="Times New Roman" w:hAnsi="Times New Roman"/>
          <w:sz w:val="17"/>
          <w:szCs w:val="17"/>
          <w:color w:val="231F20"/>
        </w:rPr>
        <w:t>), exempt investment institutions (</w:t>
      </w:r>
      <w:r>
        <w:rPr>
          <w:rFonts w:ascii="Times New Roman" w:cs="Times New Roman" w:eastAsia="Times New Roman" w:hAnsi="Times New Roman"/>
          <w:sz w:val="17"/>
          <w:szCs w:val="17"/>
          <w:i w:val="1"/>
          <w:iCs w:val="1"/>
          <w:color w:val="231F20"/>
        </w:rPr>
        <w:t>vrijgestelde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beleggingsinstellingen</w:t>
      </w:r>
      <w:r>
        <w:rPr>
          <w:rFonts w:ascii="Times New Roman" w:cs="Times New Roman" w:eastAsia="Times New Roman" w:hAnsi="Times New Roman"/>
          <w:sz w:val="17"/>
          <w:szCs w:val="17"/>
          <w:color w:val="231F20"/>
        </w:rPr>
        <w:t>) (as defined in the Dutch Corporate Income Tax Act 1969) and other entities that are, in whole or in part,</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not subject to or exempt from corporate income tax in The Netherlands as well as entities that are exempt from corporate income tax in their country of residence, such country of residence being another state of the EU, Norway, Liechtenstein, Iceland or any other state with which The Netherlands has agreed to exchange information in line with international standards; and</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80" w:right="120" w:hanging="328"/>
        <w:spacing w:after="0" w:line="260" w:lineRule="auto"/>
        <w:tabs>
          <w:tab w:leader="none" w:pos="68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holders of ordinary shares who are individuals and for whom the ordinary shares or any benefit derived from the ordinary shares are a remuneration or deemed to be a remuneration for (employment) activities performed by such holders or certain individuals related to such holders (as defined in the Dutch Income Tax Act 2001).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2"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7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However, as long as we continue to have our place of effective management solely in Germany, and not in The Netherlands, under the double tax treaty between Germany and The Netherlands, we will be considered to be exclusively tax resident in Germany and we will not be required to withhold Dutch dividend withholding tax. This exemption from withholding does not apply to dividends distributed by us to a holder who is resident or deemed to be resident in The Netherlands for Dutch income tax purposes or to holders of ordinary shares that are neither resident nor deemed to be resident of The Netherlands if the ordinary shares are attributable to a Dutch permanent establishment of such non-resident holder, in which case the following paragraph applies. See also “</w:t>
      </w:r>
      <w:r>
        <w:rPr>
          <w:rFonts w:ascii="Times New Roman" w:cs="Times New Roman" w:eastAsia="Times New Roman" w:hAnsi="Times New Roman"/>
          <w:sz w:val="18"/>
          <w:szCs w:val="18"/>
          <w:i w:val="1"/>
          <w:iCs w:val="1"/>
          <w:color w:val="auto"/>
        </w:rPr>
        <w:t>Risk Factors — Regulatory, Legal and Tax Risks —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do pay dividends, we may need to withhold tax on such dividends payable to holders of our shares in both Germany and The Netherlands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Dividends distributed by us to individuals and corporate legal entities who are resident or deemed to be resident in The Netherlands for Dutch income tax purposes (“Dutch Resident Individuals” and “Dutch Resident Entities,” as the case may be) or to holders of ordinary shares that are neither resident nor deemed to be resident of The Netherlands if the ordinary shares are attributable to a Dutch permanent establishment of such non-resident holder are subject to Dutch dividend withholding tax at a rate of 15%.</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expression “dividends distributed” includes, among other things:</w:t>
      </w:r>
    </w:p>
    <w:p>
      <w:pPr>
        <w:spacing w:after="0" w:line="218" w:lineRule="exact"/>
        <w:rPr>
          <w:sz w:val="20"/>
          <w:szCs w:val="20"/>
          <w:color w:val="auto"/>
        </w:rPr>
      </w:pPr>
    </w:p>
    <w:p>
      <w:pPr>
        <w:ind w:left="680" w:right="60" w:hanging="328"/>
        <w:spacing w:after="0" w:line="274" w:lineRule="auto"/>
        <w:tabs>
          <w:tab w:leader="none" w:pos="68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distributions in cash or in kind, deemed and constructive distributions and repayments of paid-in capital not recognized for Dutch dividend withholding tax purposes;</w:t>
      </w:r>
    </w:p>
    <w:p>
      <w:pPr>
        <w:spacing w:after="0" w:line="164" w:lineRule="exact"/>
        <w:rPr>
          <w:rFonts w:ascii="Times New Roman" w:cs="Times New Roman" w:eastAsia="Times New Roman" w:hAnsi="Times New Roman"/>
          <w:sz w:val="18"/>
          <w:szCs w:val="18"/>
          <w:color w:val="231F20"/>
        </w:rPr>
      </w:pPr>
    </w:p>
    <w:p>
      <w:pPr>
        <w:ind w:left="680" w:hanging="328"/>
        <w:spacing w:after="0" w:line="255" w:lineRule="auto"/>
        <w:tabs>
          <w:tab w:leader="none" w:pos="68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liquidation proceeds, proceeds of redemption of ordinary shares, or proceeds of the repurchase of ordinary shares (other than as temporary portfolio investment; </w:t>
      </w:r>
      <w:r>
        <w:rPr>
          <w:rFonts w:ascii="Times New Roman" w:cs="Times New Roman" w:eastAsia="Times New Roman" w:hAnsi="Times New Roman"/>
          <w:sz w:val="18"/>
          <w:szCs w:val="18"/>
          <w:i w:val="1"/>
          <w:iCs w:val="1"/>
          <w:color w:val="231F20"/>
        </w:rPr>
        <w:t>tijdelijke belegging</w:t>
      </w:r>
      <w:r>
        <w:rPr>
          <w:rFonts w:ascii="Times New Roman" w:cs="Times New Roman" w:eastAsia="Times New Roman" w:hAnsi="Times New Roman"/>
          <w:sz w:val="18"/>
          <w:szCs w:val="18"/>
          <w:color w:val="231F20"/>
        </w:rPr>
        <w:t>) by us or one of our subsidiaries or other affiliated entities, in each case to the extent such proceeds exceed the average paid-in capital of those ordinary shares as recognized for purposes of Dutch dividend withholding tax;</w:t>
      </w:r>
    </w:p>
    <w:p>
      <w:pPr>
        <w:spacing w:after="0" w:line="181" w:lineRule="exact"/>
        <w:rPr>
          <w:rFonts w:ascii="Times New Roman" w:cs="Times New Roman" w:eastAsia="Times New Roman" w:hAnsi="Times New Roman"/>
          <w:sz w:val="18"/>
          <w:szCs w:val="18"/>
          <w:color w:val="231F20"/>
        </w:rPr>
      </w:pPr>
    </w:p>
    <w:p>
      <w:pPr>
        <w:ind w:left="680" w:right="100" w:hanging="328"/>
        <w:spacing w:after="0" w:line="260" w:lineRule="auto"/>
        <w:tabs>
          <w:tab w:leader="none" w:pos="68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amount equal to the par value of ordinary shares issued or an increase of the par value of ordinary shares, to the extent that it does not appear that a related contribution, recognized for purposes of Dutch dividend withholding tax, has been made or will be made; and</w:t>
      </w:r>
    </w:p>
    <w:p>
      <w:pPr>
        <w:spacing w:after="0" w:line="176" w:lineRule="exact"/>
        <w:rPr>
          <w:rFonts w:ascii="Times New Roman" w:cs="Times New Roman" w:eastAsia="Times New Roman" w:hAnsi="Times New Roman"/>
          <w:sz w:val="18"/>
          <w:szCs w:val="18"/>
          <w:color w:val="231F20"/>
        </w:rPr>
      </w:pPr>
    </w:p>
    <w:p>
      <w:pPr>
        <w:ind w:left="680" w:right="200" w:hanging="328"/>
        <w:spacing w:after="0" w:line="255" w:lineRule="auto"/>
        <w:tabs>
          <w:tab w:leader="none" w:pos="68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partial repayment of the paid-in capital, recognized for purposes of Dutch dividend withholding tax, if and to the extent that we have net profits (</w:t>
      </w:r>
      <w:r>
        <w:rPr>
          <w:rFonts w:ascii="Times New Roman" w:cs="Times New Roman" w:eastAsia="Times New Roman" w:hAnsi="Times New Roman"/>
          <w:sz w:val="18"/>
          <w:szCs w:val="18"/>
          <w:i w:val="1"/>
          <w:iCs w:val="1"/>
          <w:color w:val="231F20"/>
        </w:rPr>
        <w:t>zuivere winst</w:t>
      </w:r>
      <w:r>
        <w:rPr>
          <w:rFonts w:ascii="Times New Roman" w:cs="Times New Roman" w:eastAsia="Times New Roman" w:hAnsi="Times New Roman"/>
          <w:sz w:val="18"/>
          <w:szCs w:val="18"/>
          <w:color w:val="231F20"/>
        </w:rPr>
        <w:t>), unless (i) the general meeting has resolved in advance to make such repayment and (ii) the par value of the ordinary shares concerned has been reduced by an equal amount by way of an amendment of our articles of association. The term “net profits” includes anticipated profits that have yet to be realized.</w:t>
      </w:r>
    </w:p>
    <w:p>
      <w:pPr>
        <w:spacing w:after="0" w:line="182" w:lineRule="exact"/>
        <w:rPr>
          <w:sz w:val="20"/>
          <w:szCs w:val="20"/>
          <w:color w:val="auto"/>
        </w:rPr>
      </w:pPr>
    </w:p>
    <w:p>
      <w:pPr>
        <w:jc w:val="both"/>
        <w:ind w:right="100" w:firstLine="318"/>
        <w:spacing w:after="0" w:line="260" w:lineRule="auto"/>
        <w:rPr>
          <w:sz w:val="20"/>
          <w:szCs w:val="20"/>
          <w:color w:val="auto"/>
        </w:rPr>
      </w:pPr>
      <w:r>
        <w:rPr>
          <w:rFonts w:ascii="Times New Roman" w:cs="Times New Roman" w:eastAsia="Times New Roman" w:hAnsi="Times New Roman"/>
          <w:sz w:val="18"/>
          <w:szCs w:val="18"/>
          <w:color w:val="auto"/>
        </w:rPr>
        <w:t>Dutch Resident Individuals and Dutch Resident Entities generally are entitled a credit for any Dutch dividend withholding tax against their Dutch (corporate) income tax liability. For Dutch Resident Entities, the credit in any given year is limited to the amount of corporate income tax payable in respect of the relevant year with an indefinite carry forward of any excess amount.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Stripping</w:t>
      </w:r>
    </w:p>
    <w:p>
      <w:pPr>
        <w:spacing w:after="0" w:line="220"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Pursuant to legislation to counteract “dividend stripping,” a reduction, exemption, credit or refund of Dutch dividend withholding tax is denied if the recipient of the dividend is not the beneficial owner (</w:t>
      </w:r>
      <w:r>
        <w:rPr>
          <w:rFonts w:ascii="Times New Roman" w:cs="Times New Roman" w:eastAsia="Times New Roman" w:hAnsi="Times New Roman"/>
          <w:sz w:val="18"/>
          <w:szCs w:val="18"/>
          <w:i w:val="1"/>
          <w:iCs w:val="1"/>
          <w:color w:val="auto"/>
        </w:rPr>
        <w:t>uiteindelijk gerechtigde</w:t>
      </w:r>
      <w:r>
        <w:rPr>
          <w:rFonts w:ascii="Times New Roman" w:cs="Times New Roman" w:eastAsia="Times New Roman" w:hAnsi="Times New Roman"/>
          <w:sz w:val="18"/>
          <w:szCs w:val="18"/>
          <w:color w:val="auto"/>
        </w:rPr>
        <w:t>) of the dividend as described in the Dutch Dividend Withholding Tax Act 1965 (</w:t>
      </w:r>
      <w:r>
        <w:rPr>
          <w:rFonts w:ascii="Times New Roman" w:cs="Times New Roman" w:eastAsia="Times New Roman" w:hAnsi="Times New Roman"/>
          <w:sz w:val="18"/>
          <w:szCs w:val="18"/>
          <w:i w:val="1"/>
          <w:iCs w:val="1"/>
          <w:color w:val="auto"/>
        </w:rPr>
        <w:t>Wet op de dividendbelasting 1965</w:t>
      </w:r>
      <w:r>
        <w:rPr>
          <w:rFonts w:ascii="Times New Roman" w:cs="Times New Roman" w:eastAsia="Times New Roman" w:hAnsi="Times New Roman"/>
          <w:sz w:val="18"/>
          <w:szCs w:val="18"/>
          <w:color w:val="auto"/>
        </w:rPr>
        <w:t>).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w:t>
      </w:r>
    </w:p>
    <w:p>
      <w:pPr>
        <w:spacing w:after="0" w:line="182"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Dutch State Secretary for Finance takes the position that the definition of beneficial ownership introduced by this legislation will also be applied in the context of a double taxation convention.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Withholding Tax on Dividends (as of January 1, 2024)</w:t>
      </w:r>
    </w:p>
    <w:p>
      <w:pPr>
        <w:spacing w:after="0" w:line="218" w:lineRule="exact"/>
        <w:rPr>
          <w:sz w:val="20"/>
          <w:szCs w:val="20"/>
          <w:color w:val="auto"/>
        </w:rPr>
      </w:pPr>
    </w:p>
    <w:p>
      <w:pPr>
        <w:ind w:right="60" w:firstLine="353"/>
        <w:spacing w:after="0" w:line="276" w:lineRule="auto"/>
        <w:rPr>
          <w:sz w:val="20"/>
          <w:szCs w:val="20"/>
          <w:color w:val="auto"/>
        </w:rPr>
      </w:pPr>
      <w:r>
        <w:rPr>
          <w:rFonts w:ascii="Times New Roman" w:cs="Times New Roman" w:eastAsia="Times New Roman" w:hAnsi="Times New Roman"/>
          <w:sz w:val="18"/>
          <w:szCs w:val="18"/>
          <w:color w:val="auto"/>
        </w:rPr>
        <w:t>As of January 1, 2024, a Dutch conditional withholding tax will be imposed on dividends distributed us to entities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xml:space="preserve">) to the Company (within the meaning of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if such related entity:</w:t>
      </w:r>
    </w:p>
    <w:p>
      <w:pPr>
        <w:spacing w:after="0" w:line="161" w:lineRule="exact"/>
        <w:rPr>
          <w:sz w:val="20"/>
          <w:szCs w:val="20"/>
          <w:color w:val="auto"/>
        </w:rPr>
      </w:pPr>
    </w:p>
    <w:p>
      <w:pPr>
        <w:ind w:left="680" w:right="140" w:hanging="328"/>
        <w:spacing w:after="0" w:line="261" w:lineRule="auto"/>
        <w:tabs>
          <w:tab w:leader="none" w:pos="68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 considered to be resident (</w:t>
      </w:r>
      <w:r>
        <w:rPr>
          <w:rFonts w:ascii="Times New Roman" w:cs="Times New Roman" w:eastAsia="Times New Roman" w:hAnsi="Times New Roman"/>
          <w:sz w:val="18"/>
          <w:szCs w:val="18"/>
          <w:i w:val="1"/>
          <w:iCs w:val="1"/>
          <w:color w:val="231F20"/>
        </w:rPr>
        <w:t>gevestigd</w:t>
      </w:r>
      <w:r>
        <w:rPr>
          <w:rFonts w:ascii="Times New Roman" w:cs="Times New Roman" w:eastAsia="Times New Roman" w:hAnsi="Times New Roman"/>
          <w:sz w:val="18"/>
          <w:szCs w:val="18"/>
          <w:color w:val="231F20"/>
        </w:rPr>
        <w:t>) in a jurisdiction that is listed in the yearly updated Dutch Regulation on low-taxing states and non-cooperative jurisdictions for tax purposes (</w:t>
      </w:r>
      <w:r>
        <w:rPr>
          <w:rFonts w:ascii="Times New Roman" w:cs="Times New Roman" w:eastAsia="Times New Roman" w:hAnsi="Times New Roman"/>
          <w:sz w:val="18"/>
          <w:szCs w:val="18"/>
          <w:i w:val="1"/>
          <w:iCs w:val="1"/>
          <w:color w:val="231F20"/>
        </w:rPr>
        <w:t>Regeling laagbelastende staten en niet-coöperatieve rechtsgebieden voor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belastingdoeleinden</w:t>
      </w:r>
      <w:r>
        <w:rPr>
          <w:rFonts w:ascii="Times New Roman" w:cs="Times New Roman" w:eastAsia="Times New Roman" w:hAnsi="Times New Roman"/>
          <w:sz w:val="18"/>
          <w:szCs w:val="18"/>
          <w:color w:val="231F20"/>
        </w:rPr>
        <w:t>) (a “Listed Jurisdiction”); or</w:t>
      </w:r>
    </w:p>
    <w:p>
      <w:pPr>
        <w:spacing w:after="0" w:line="175"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has a permanent establishment located in a Listed Jurisdiction to which the ordinary shares are attributable; or</w:t>
      </w:r>
    </w:p>
    <w:p>
      <w:pPr>
        <w:spacing w:after="0" w:line="217" w:lineRule="exact"/>
        <w:rPr>
          <w:rFonts w:ascii="Times New Roman" w:cs="Times New Roman" w:eastAsia="Times New Roman" w:hAnsi="Times New Roman"/>
          <w:sz w:val="18"/>
          <w:szCs w:val="18"/>
          <w:color w:val="231F20"/>
        </w:rPr>
      </w:pPr>
    </w:p>
    <w:p>
      <w:pPr>
        <w:ind w:left="680" w:right="40" w:hanging="328"/>
        <w:spacing w:after="0" w:line="274" w:lineRule="auto"/>
        <w:tabs>
          <w:tab w:leader="none" w:pos="68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holds the ordinary shares for the main purpose or one of the main purposes to avoid taxation for another person or entity and there is an artificial arrangement or transaction or a series of artificial arrangements or transactions; or</w:t>
      </w:r>
    </w:p>
    <w:p>
      <w:pPr>
        <w:spacing w:after="0" w:line="164" w:lineRule="exact"/>
        <w:rPr>
          <w:rFonts w:ascii="Times New Roman" w:cs="Times New Roman" w:eastAsia="Times New Roman" w:hAnsi="Times New Roman"/>
          <w:sz w:val="18"/>
          <w:szCs w:val="18"/>
          <w:color w:val="231F20"/>
        </w:rPr>
      </w:pPr>
    </w:p>
    <w:p>
      <w:pPr>
        <w:ind w:left="680" w:right="200" w:hanging="328"/>
        <w:spacing w:after="0" w:line="274" w:lineRule="auto"/>
        <w:tabs>
          <w:tab w:leader="none" w:pos="68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 not considered to be the beneficial owner of the ordinary shares in its jurisdiction of residence because such jurisdiction treats another entity as the beneficial owner of the ordinary shares (a hybrid mismatch); or</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 not resident in any jurisdiction (also a hybrid mismatch); or</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 a reverse hybrid (within the meaning of Article 2(12) of the Dutch Corporate Income Tax Act 1969), if and to the extent</w:t>
      </w:r>
    </w:p>
    <w:p>
      <w:pPr>
        <w:spacing w:after="0" w:line="24" w:lineRule="exact"/>
        <w:rPr>
          <w:rFonts w:ascii="Times New Roman" w:cs="Times New Roman" w:eastAsia="Times New Roman" w:hAnsi="Times New Roman"/>
          <w:sz w:val="18"/>
          <w:szCs w:val="18"/>
          <w:color w:val="231F20"/>
        </w:rPr>
      </w:pPr>
    </w:p>
    <w:p>
      <w:pPr>
        <w:ind w:left="680" w:right="160"/>
        <w:spacing w:after="0" w:line="27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(x) there is a participant in the reverse hybrid which is related (</w:t>
      </w:r>
      <w:r>
        <w:rPr>
          <w:rFonts w:ascii="Times New Roman" w:cs="Times New Roman" w:eastAsia="Times New Roman" w:hAnsi="Times New Roman"/>
          <w:sz w:val="17"/>
          <w:szCs w:val="17"/>
          <w:i w:val="1"/>
          <w:iCs w:val="1"/>
          <w:color w:val="231F20"/>
        </w:rPr>
        <w:t>gelieerd</w:t>
      </w:r>
      <w:r>
        <w:rPr>
          <w:rFonts w:ascii="Times New Roman" w:cs="Times New Roman" w:eastAsia="Times New Roman" w:hAnsi="Times New Roman"/>
          <w:sz w:val="17"/>
          <w:szCs w:val="17"/>
          <w:color w:val="231F20"/>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within the meaning of the Dutch Withholding Tax Act 2021.</w:t>
      </w:r>
    </w:p>
    <w:p>
      <w:pPr>
        <w:spacing w:after="0" w:line="218"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Dutch Resident Entities</w:t>
      </w:r>
    </w:p>
    <w:p>
      <w:pPr>
        <w:spacing w:after="0" w:line="220"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Generally speaking, if the holder of ordinary shares is a Dutch Resident Entity, any income derived or deemed to be derived from the ordinary shares or any capital gains realized on the disposal or deemed disposal of the ordinary shares is subject to Dutch corporate income tax at a rate of 15.0% with respect to taxable profits up to €395,000 and 25.8% with respect to taxable profits in excess of that amount (rates and brackets for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Dutch Resident Individuals</w:t>
      </w:r>
    </w:p>
    <w:p>
      <w:pPr>
        <w:spacing w:after="0" w:line="220"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If the holder of ordinary shares is a Dutch Resident Individual, any income derived or deemed to be derived from the ordinary shares or any capital gains realized on the disposal or deemed disposal of the ordinary shares is subject to Dutch income tax at the progressive rates (with a maximum of 49.50% in 2022), if:</w:t>
      </w:r>
    </w:p>
    <w:p>
      <w:pPr>
        <w:spacing w:after="0" w:line="176" w:lineRule="exact"/>
        <w:rPr>
          <w:sz w:val="20"/>
          <w:szCs w:val="20"/>
          <w:color w:val="auto"/>
        </w:rPr>
      </w:pPr>
    </w:p>
    <w:p>
      <w:pPr>
        <w:ind w:left="680" w:right="80" w:hanging="328"/>
        <w:spacing w:after="0" w:line="260" w:lineRule="auto"/>
        <w:tabs>
          <w:tab w:leader="none" w:pos="680"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ordinary shares are attributable to an enterprise from which the holder of ordinary shares derives a share of the profit, whether as an entrepreneur (</w:t>
      </w:r>
      <w:r>
        <w:rPr>
          <w:rFonts w:ascii="Times New Roman" w:cs="Times New Roman" w:eastAsia="Times New Roman" w:hAnsi="Times New Roman"/>
          <w:sz w:val="18"/>
          <w:szCs w:val="18"/>
          <w:i w:val="1"/>
          <w:iCs w:val="1"/>
          <w:color w:val="231F20"/>
        </w:rPr>
        <w:t>ondernemer</w:t>
      </w:r>
      <w:r>
        <w:rPr>
          <w:rFonts w:ascii="Times New Roman" w:cs="Times New Roman" w:eastAsia="Times New Roman" w:hAnsi="Times New Roman"/>
          <w:sz w:val="18"/>
          <w:szCs w:val="18"/>
          <w:color w:val="231F20"/>
        </w:rPr>
        <w:t xml:space="preserve">) or as a person who has a </w:t>
      </w:r>
      <w:r>
        <w:rPr>
          <w:rFonts w:ascii="Times New Roman" w:cs="Times New Roman" w:eastAsia="Times New Roman" w:hAnsi="Times New Roman"/>
          <w:sz w:val="18"/>
          <w:szCs w:val="18"/>
          <w:color w:val="000000"/>
        </w:rPr>
        <w:t>co-entitlement to the net worth (</w:t>
      </w:r>
      <w:r>
        <w:rPr>
          <w:rFonts w:ascii="Times New Roman" w:cs="Times New Roman" w:eastAsia="Times New Roman" w:hAnsi="Times New Roman"/>
          <w:sz w:val="18"/>
          <w:szCs w:val="18"/>
          <w:i w:val="1"/>
          <w:iCs w:val="1"/>
          <w:color w:val="000000"/>
        </w:rPr>
        <w:t>medegerechtigd tot het vermogen</w:t>
      </w:r>
      <w:r>
        <w:rPr>
          <w:rFonts w:ascii="Times New Roman" w:cs="Times New Roman" w:eastAsia="Times New Roman" w:hAnsi="Times New Roman"/>
          <w:sz w:val="18"/>
          <w:szCs w:val="18"/>
          <w:color w:val="000000"/>
        </w:rPr>
        <w: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such enterprise without being a shareholder (as defined in the Dutch Income Tax Act 2001); or</w:t>
      </w:r>
    </w:p>
    <w:p>
      <w:pPr>
        <w:spacing w:after="0" w:line="176" w:lineRule="exact"/>
        <w:rPr>
          <w:rFonts w:ascii="Times New Roman" w:cs="Times New Roman" w:eastAsia="Times New Roman" w:hAnsi="Times New Roman"/>
          <w:sz w:val="18"/>
          <w:szCs w:val="18"/>
          <w:color w:val="231F20"/>
        </w:rPr>
      </w:pPr>
    </w:p>
    <w:p>
      <w:pPr>
        <w:ind w:left="680" w:right="40" w:hanging="328"/>
        <w:spacing w:after="0" w:line="260" w:lineRule="auto"/>
        <w:tabs>
          <w:tab w:leader="none" w:pos="680"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holder of ordinary shares is considered to perform activities with respect to the ordinary shares that go beyond ordinary asset management (</w:t>
      </w:r>
      <w:r>
        <w:rPr>
          <w:rFonts w:ascii="Times New Roman" w:cs="Times New Roman" w:eastAsia="Times New Roman" w:hAnsi="Times New Roman"/>
          <w:sz w:val="18"/>
          <w:szCs w:val="18"/>
          <w:i w:val="1"/>
          <w:iCs w:val="1"/>
          <w:color w:val="231F20"/>
        </w:rPr>
        <w:t>normaal, actief vermogensbeheer</w:t>
      </w:r>
      <w:r>
        <w:rPr>
          <w:rFonts w:ascii="Times New Roman" w:cs="Times New Roman" w:eastAsia="Times New Roman" w:hAnsi="Times New Roman"/>
          <w:sz w:val="18"/>
          <w:szCs w:val="18"/>
          <w:color w:val="231F20"/>
        </w:rPr>
        <w:t>) or otherwise derives benefits from the ordinary shares that are taxable as benefits from miscellaneous activities (</w:t>
      </w:r>
      <w:r>
        <w:rPr>
          <w:rFonts w:ascii="Times New Roman" w:cs="Times New Roman" w:eastAsia="Times New Roman" w:hAnsi="Times New Roman"/>
          <w:sz w:val="18"/>
          <w:szCs w:val="18"/>
          <w:i w:val="1"/>
          <w:iCs w:val="1"/>
          <w:color w:val="231F20"/>
        </w:rPr>
        <w:t>resultaat uit overige werkzaamheden</w:t>
      </w:r>
      <w:r>
        <w:rPr>
          <w:rFonts w:ascii="Times New Roman" w:cs="Times New Roman" w:eastAsia="Times New Roman" w:hAnsi="Times New Roman"/>
          <w:sz w:val="18"/>
          <w:szCs w:val="18"/>
          <w:color w:val="231F20"/>
        </w:rPr>
        <w:t>).</w:t>
      </w:r>
    </w:p>
    <w:p>
      <w:pPr>
        <w:spacing w:after="0" w:line="176"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If the above-mentioned conditions (i) and (ii) do not apply to a Dutch Resident Individual, the Dutch Resident Individual’s net investment assets (</w:t>
      </w:r>
      <w:r>
        <w:rPr>
          <w:rFonts w:ascii="Times New Roman" w:cs="Times New Roman" w:eastAsia="Times New Roman" w:hAnsi="Times New Roman"/>
          <w:sz w:val="18"/>
          <w:szCs w:val="18"/>
          <w:i w:val="1"/>
          <w:iCs w:val="1"/>
          <w:color w:val="auto"/>
        </w:rPr>
        <w:t>rendementsgrondslag</w:t>
      </w:r>
      <w:r>
        <w:rPr>
          <w:rFonts w:ascii="Times New Roman" w:cs="Times New Roman" w:eastAsia="Times New Roman" w:hAnsi="Times New Roman"/>
          <w:sz w:val="18"/>
          <w:szCs w:val="18"/>
          <w:color w:val="auto"/>
        </w:rPr>
        <w:t>) for the year, will be subject to an annual Dutch income tax on a deemed return (with a maximum of 5.53% in 2022) under the regime for savings and investments (</w:t>
      </w:r>
      <w:r>
        <w:rPr>
          <w:rFonts w:ascii="Times New Roman" w:cs="Times New Roman" w:eastAsia="Times New Roman" w:hAnsi="Times New Roman"/>
          <w:sz w:val="18"/>
          <w:szCs w:val="18"/>
          <w:i w:val="1"/>
          <w:iCs w:val="1"/>
          <w:color w:val="auto"/>
        </w:rPr>
        <w:t>inkomen uit sparen en beleggen</w:t>
      </w:r>
      <w:r>
        <w:rPr>
          <w:rFonts w:ascii="Times New Roman" w:cs="Times New Roman" w:eastAsia="Times New Roman" w:hAnsi="Times New Roman"/>
          <w:sz w:val="18"/>
          <w:szCs w:val="18"/>
          <w:color w:val="auto"/>
        </w:rPr>
        <w:t>), insofar the Dutch Resident Individual’s net in-vestment assets for the year exceed a statutory threshold (</w:t>
      </w:r>
      <w:r>
        <w:rPr>
          <w:rFonts w:ascii="Times New Roman" w:cs="Times New Roman" w:eastAsia="Times New Roman" w:hAnsi="Times New Roman"/>
          <w:sz w:val="18"/>
          <w:szCs w:val="18"/>
          <w:i w:val="1"/>
          <w:iCs w:val="1"/>
          <w:color w:val="auto"/>
        </w:rPr>
        <w:t>heffingvrij vermogen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net investment assets for the year are the fair market value of the investment assets less the allowable liabilities on January 1 of the relevant calendar year. The ordinary shares are included as investment assets. For the net investment assets on January 1, 2022, the deemed return ranges from 1.82% up to 5.53% (depending on the aggregate amount of the net investment assets of the Dutch Resident Individual on January 1, 2022).</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deemed return on the Dutch Resident Individual’s net investment assets for the year is taxed at a flat rate of 31% (rate for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income or capital gains realized in respect of the shares are as such not subject to Dutch income tax.</w:t>
      </w:r>
    </w:p>
    <w:p>
      <w:pPr>
        <w:spacing w:after="0" w:line="19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Based on a decision of the Dutch Supreme Court (Hoge Raad) of December 24, 2021 (ECLI:NL:HR:2021:1963), the current system of taxation based on a deemed return may under specific circumstances contravene Section 1 of the First Protocol to the European Convention on Human Rights in combination with Section 14 of the European Convention on Human Rights. On June 28, 2022, the Dutch State Secretary for Finance has issued a decree amending the regime for taxation of savings and investments as in effect on the date of this Prospectus to comply with this Dutch Supreme Court ruling. On the basis of the decree as published on June 28, 2022, the tax will be levied at the lowest outcome of the following two calculation methods: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 1</w:t>
      </w:r>
    </w:p>
    <w:p>
      <w:pPr>
        <w:spacing w:after="0" w:line="220"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Under method 1, the annual taxable benefit from a Dutch Resident Individual’s assets and liabilities taxed under this regime, including the ordinary shares is based on a deemed return (ranging from 1.82% and 5.53% in 2022) of the positive balance of the fair market value of those assets, including the ordinary shares and the fair market value of these liabilities.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 2</w:t>
      </w:r>
    </w:p>
    <w:p>
      <w:pPr>
        <w:spacing w:after="0" w:line="220"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Under method 2, the annual taxable benefit from a Dutch Resident Individual’s assets and liabilities taxed under this regime, including the ordinary shares is based on the actual allocation of the Dutch Resident Individual’s assets and liabilities over the following three categories: (i) bank savings, (ii) other investments, including the ordinary shares and (iii) liabilities. The tax is calculated as follows:</w:t>
      </w:r>
    </w:p>
    <w:p>
      <w:pPr>
        <w:spacing w:after="0" w:line="182" w:lineRule="exact"/>
        <w:rPr>
          <w:sz w:val="20"/>
          <w:szCs w:val="20"/>
          <w:color w:val="auto"/>
        </w:rPr>
      </w:pPr>
    </w:p>
    <w:p>
      <w:pPr>
        <w:ind w:left="680" w:hanging="328"/>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deemed return on the fair market value of the actual amount of bank savings; plus</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deemed return on the fair market value of the actual amount of other investments, including the ordinary shares; minus</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deemed return on the fair market value of the actual amount of liabilities.</w:t>
      </w:r>
    </w:p>
    <w:p>
      <w:pPr>
        <w:spacing w:after="0" w:line="218"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Under the second method, the statutory threshold is divided pro-rata over the three assets and liabilities categories mentioned above. At the date of this Prospectus, the deemed returns under (i) to (iii) above have not been published for the year 2022.</w:t>
      </w:r>
    </w:p>
    <w:p>
      <w:pPr>
        <w:spacing w:after="0" w:line="164"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Holders of ordinary shares are advised to consult their own tax advisor to ensure that the tax is levied in accordance with the decision of the Dutch Supreme Court.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220"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A holder of ordinary shares that is neither a Dutch Resident Entity nor a Dutch Resident Individual will not be subject to Dutch (corporate) income tax in respect of income derived or deemed to be derived from the ordinary shares or in respect of capital gains realized on the disposal or deemed disposal of the ordinary shares, provided that:</w:t>
      </w:r>
    </w:p>
    <w:p>
      <w:pPr>
        <w:spacing w:after="0" w:line="176" w:lineRule="exact"/>
        <w:rPr>
          <w:sz w:val="20"/>
          <w:szCs w:val="20"/>
          <w:color w:val="auto"/>
        </w:rPr>
      </w:pPr>
    </w:p>
    <w:p>
      <w:pPr>
        <w:ind w:left="680" w:hanging="328"/>
        <w:spacing w:after="0" w:line="255" w:lineRule="auto"/>
        <w:tabs>
          <w:tab w:leader="none" w:pos="680" w:val="left"/>
        </w:tabs>
        <w:numPr>
          <w:ilvl w:val="0"/>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81" w:lineRule="exact"/>
        <w:rPr>
          <w:rFonts w:ascii="Times New Roman" w:cs="Times New Roman" w:eastAsia="Times New Roman" w:hAnsi="Times New Roman"/>
          <w:sz w:val="18"/>
          <w:szCs w:val="18"/>
          <w:color w:val="231F20"/>
        </w:rPr>
      </w:pPr>
    </w:p>
    <w:p>
      <w:pPr>
        <w:ind w:left="680" w:right="160" w:hanging="328"/>
        <w:spacing w:after="0" w:line="260" w:lineRule="auto"/>
        <w:tabs>
          <w:tab w:leader="none" w:pos="680" w:val="left"/>
        </w:tabs>
        <w:numPr>
          <w:ilvl w:val="0"/>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and Inheritance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220" w:lineRule="exact"/>
        <w:rPr>
          <w:sz w:val="20"/>
          <w:szCs w:val="20"/>
          <w:color w:val="auto"/>
        </w:rPr>
      </w:pPr>
    </w:p>
    <w:p>
      <w:pPr>
        <w:ind w:right="80" w:firstLine="318"/>
        <w:spacing w:after="0" w:line="304" w:lineRule="auto"/>
        <w:rPr>
          <w:sz w:val="20"/>
          <w:szCs w:val="20"/>
          <w:color w:val="auto"/>
        </w:rPr>
      </w:pPr>
      <w:r>
        <w:rPr>
          <w:rFonts w:ascii="Times New Roman" w:cs="Times New Roman" w:eastAsia="Times New Roman" w:hAnsi="Times New Roman"/>
          <w:sz w:val="17"/>
          <w:szCs w:val="17"/>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holder’s death.</w:t>
      </w: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220"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No gift or inheritance taxes will arise in The Netherlands with respect to a transfer of ordinary shares by way of gift by, or on the death of, a holder of ordinary shares who is neither resident nor deemed to be resident of The Netherlands, unless:</w:t>
      </w:r>
    </w:p>
    <w:p>
      <w:pPr>
        <w:spacing w:after="0" w:line="164" w:lineRule="exact"/>
        <w:rPr>
          <w:sz w:val="20"/>
          <w:szCs w:val="20"/>
          <w:color w:val="auto"/>
        </w:rPr>
      </w:pPr>
    </w:p>
    <w:p>
      <w:pPr>
        <w:ind w:left="680" w:hanging="328"/>
        <w:spacing w:after="0" w:line="260" w:lineRule="auto"/>
        <w:tabs>
          <w:tab w:leader="none" w:pos="680"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 gift of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76" w:lineRule="exact"/>
        <w:rPr>
          <w:rFonts w:ascii="Times New Roman" w:cs="Times New Roman" w:eastAsia="Times New Roman" w:hAnsi="Times New Roman"/>
          <w:sz w:val="18"/>
          <w:szCs w:val="18"/>
          <w:color w:val="231F20"/>
        </w:rPr>
      </w:pPr>
    </w:p>
    <w:p>
      <w:pPr>
        <w:ind w:left="680" w:right="480" w:hanging="328"/>
        <w:spacing w:after="0" w:line="274" w:lineRule="auto"/>
        <w:tabs>
          <w:tab w:leader="none" w:pos="680"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 gift of ordinary shares is made under a condition precedent, the holder of the ordinary shares is resident or is deemed to be resident of The Netherlands at the time the condition is fulfilled; or</w:t>
      </w:r>
    </w:p>
    <w:p>
      <w:pPr>
        <w:spacing w:after="0" w:line="164" w:lineRule="exact"/>
        <w:rPr>
          <w:rFonts w:ascii="Times New Roman" w:cs="Times New Roman" w:eastAsia="Times New Roman" w:hAnsi="Times New Roman"/>
          <w:sz w:val="18"/>
          <w:szCs w:val="18"/>
          <w:color w:val="231F20"/>
        </w:rPr>
      </w:pPr>
    </w:p>
    <w:p>
      <w:pPr>
        <w:ind w:left="680" w:right="160" w:hanging="328"/>
        <w:spacing w:after="0" w:line="274" w:lineRule="auto"/>
        <w:tabs>
          <w:tab w:leader="none" w:pos="680"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transfer is otherwise construed as a gift or inheritance made by, or on behalf of, a person who, at the time of the gift or death, is or is deemed to be resident of The Netherlands.</w:t>
      </w:r>
    </w:p>
    <w:p>
      <w:pPr>
        <w:spacing w:after="0" w:line="164"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8"/>
          <w:szCs w:val="18"/>
          <w:color w:val="auto"/>
        </w:rPr>
        <w:t>For purposes of Dutch gift and inheritance taxes, among others, a person that holds the Dutch nationality will be deemed to be resident of The Netherlands if such person has been resident in The Netherlands at any time during the ten (10) years preceding the date of the gift or such person’s death. Additionally, for purposes of Dutch gift tax, among others, a person not holding the Dutch nationality will be deemed to be resident of The Netherlands if such person has been resident in The Netherlands at any time during the twelve (12) months preceding the date of the gift. Applicable tax treaties may override deemed residency.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222"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No Dutch value-added tax will be payable by a holder of ordinary shares in respect of any payment in consideration for the holding or disposal of the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Taxes and Duties</w:t>
      </w:r>
    </w:p>
    <w:p>
      <w:pPr>
        <w:spacing w:after="0" w:line="222"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No Dutch registration tax, stamp duty or any other similar documentary tax or duty will be payable by a holder of ordinary shares in respect of any payment in consideration for the holding or disposal of the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Property Transfer Tax</w:t>
      </w:r>
    </w:p>
    <w:p>
      <w:pPr>
        <w:spacing w:after="0" w:line="220"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8"/>
          <w:szCs w:val="18"/>
          <w:color w:val="auto"/>
        </w:rPr>
        <w:t>Under circumstances, our ordinary shares could, for the purposes of Dutch real property transfer tax (</w:t>
      </w:r>
      <w:r>
        <w:rPr>
          <w:rFonts w:ascii="Times New Roman" w:cs="Times New Roman" w:eastAsia="Times New Roman" w:hAnsi="Times New Roman"/>
          <w:sz w:val="18"/>
          <w:szCs w:val="18"/>
          <w:i w:val="1"/>
          <w:iCs w:val="1"/>
          <w:color w:val="auto"/>
        </w:rPr>
        <w:t>overdrachtsbelasting</w:t>
      </w:r>
      <w:r>
        <w:rPr>
          <w:rFonts w:ascii="Times New Roman" w:cs="Times New Roman" w:eastAsia="Times New Roman" w:hAnsi="Times New Roman"/>
          <w:sz w:val="18"/>
          <w:szCs w:val="18"/>
          <w:color w:val="auto"/>
        </w:rPr>
        <w:t>), be treated as real property (</w:t>
      </w:r>
      <w:r>
        <w:rPr>
          <w:rFonts w:ascii="Times New Roman" w:cs="Times New Roman" w:eastAsia="Times New Roman" w:hAnsi="Times New Roman"/>
          <w:sz w:val="18"/>
          <w:szCs w:val="18"/>
          <w:i w:val="1"/>
          <w:iCs w:val="1"/>
          <w:color w:val="auto"/>
        </w:rPr>
        <w:t>fictieve onroerende zaken</w:t>
      </w:r>
      <w:r>
        <w:rPr>
          <w:rFonts w:ascii="Times New Roman" w:cs="Times New Roman" w:eastAsia="Times New Roman" w:hAnsi="Times New Roman"/>
          <w:sz w:val="18"/>
          <w:szCs w:val="18"/>
          <w:color w:val="auto"/>
        </w:rPr>
        <w:t>) located in The Netherlands, in which case this tax could be payable upon acquisition of our ordinary shares.</w:t>
      </w:r>
    </w:p>
    <w:p>
      <w:pPr>
        <w:spacing w:after="0" w:line="174" w:lineRule="exact"/>
        <w:rPr>
          <w:sz w:val="20"/>
          <w:szCs w:val="20"/>
          <w:color w:val="auto"/>
        </w:rPr>
      </w:pPr>
    </w:p>
    <w:p>
      <w:pPr>
        <w:ind w:right="340" w:firstLine="318"/>
        <w:spacing w:after="0" w:line="276" w:lineRule="auto"/>
        <w:rPr>
          <w:sz w:val="20"/>
          <w:szCs w:val="20"/>
          <w:color w:val="auto"/>
        </w:rPr>
      </w:pPr>
      <w:r>
        <w:rPr>
          <w:rFonts w:ascii="Times New Roman" w:cs="Times New Roman" w:eastAsia="Times New Roman" w:hAnsi="Times New Roman"/>
          <w:sz w:val="18"/>
          <w:szCs w:val="18"/>
          <w:color w:val="auto"/>
        </w:rPr>
        <w:t>Our ordinary shares will generally not be treated as real property (</w:t>
      </w:r>
      <w:r>
        <w:rPr>
          <w:rFonts w:ascii="Times New Roman" w:cs="Times New Roman" w:eastAsia="Times New Roman" w:hAnsi="Times New Roman"/>
          <w:sz w:val="18"/>
          <w:szCs w:val="18"/>
          <w:i w:val="1"/>
          <w:iCs w:val="1"/>
          <w:color w:val="auto"/>
        </w:rPr>
        <w:t>fictieve onroerende zaken</w:t>
      </w:r>
      <w:r>
        <w:rPr>
          <w:rFonts w:ascii="Times New Roman" w:cs="Times New Roman" w:eastAsia="Times New Roman" w:hAnsi="Times New Roman"/>
          <w:sz w:val="18"/>
          <w:szCs w:val="18"/>
          <w:color w:val="auto"/>
        </w:rPr>
        <w:t>) if at the time of, or at any time during the year preceding, the acquisition of the Shares:</w:t>
      </w:r>
    </w:p>
    <w:p>
      <w:pPr>
        <w:spacing w:after="0" w:line="163" w:lineRule="exact"/>
        <w:rPr>
          <w:sz w:val="20"/>
          <w:szCs w:val="20"/>
          <w:color w:val="auto"/>
        </w:rPr>
      </w:pPr>
    </w:p>
    <w:p>
      <w:pPr>
        <w:ind w:left="680" w:hanging="328"/>
        <w:spacing w:after="0"/>
        <w:tabs>
          <w:tab w:leader="none" w:pos="680" w:val="left"/>
        </w:tabs>
        <w:numPr>
          <w:ilvl w:val="0"/>
          <w:numId w:val="10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assets do not and did not include real property situated in The Netherlands; or</w:t>
      </w:r>
    </w:p>
    <w:p>
      <w:pPr>
        <w:spacing w:after="0" w:line="217" w:lineRule="exact"/>
        <w:rPr>
          <w:rFonts w:ascii="Times New Roman" w:cs="Times New Roman" w:eastAsia="Times New Roman" w:hAnsi="Times New Roman"/>
          <w:sz w:val="18"/>
          <w:szCs w:val="18"/>
          <w:color w:val="231F20"/>
        </w:rPr>
      </w:pPr>
    </w:p>
    <w:p>
      <w:pPr>
        <w:ind w:left="680" w:right="180" w:hanging="328"/>
        <w:spacing w:after="0" w:line="274" w:lineRule="auto"/>
        <w:tabs>
          <w:tab w:leader="none" w:pos="680" w:val="left"/>
        </w:tabs>
        <w:numPr>
          <w:ilvl w:val="0"/>
          <w:numId w:val="10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assets only include and included real property, situated either in or outside The Netherlands, that we do not and did not hold, and currently do not intend to hold, predominantly as a financial investment.</w:t>
      </w:r>
    </w:p>
    <w:p>
      <w:pPr>
        <w:spacing w:after="0" w:line="164"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8"/>
          <w:szCs w:val="18"/>
          <w:color w:val="auto"/>
        </w:rPr>
        <w:t>Real property as referred to under (i) and (ii) above includes legal ownership and more limited legal rights over the property (rights in rem) (</w:t>
      </w:r>
      <w:r>
        <w:rPr>
          <w:rFonts w:ascii="Times New Roman" w:cs="Times New Roman" w:eastAsia="Times New Roman" w:hAnsi="Times New Roman"/>
          <w:sz w:val="18"/>
          <w:szCs w:val="18"/>
          <w:i w:val="1"/>
          <w:iCs w:val="1"/>
          <w:color w:val="auto"/>
        </w:rPr>
        <w:t>zakelijke rechten</w:t>
      </w:r>
      <w:r>
        <w:rPr>
          <w:rFonts w:ascii="Times New Roman" w:cs="Times New Roman" w:eastAsia="Times New Roman" w:hAnsi="Times New Roman"/>
          <w:sz w:val="18"/>
          <w:szCs w:val="18"/>
          <w:color w:val="auto"/>
        </w:rPr>
        <w:t>) as well as contractual rights that give us economic exposure to the value of such real property, and certain participations or interests in entities that are treated as real property (</w:t>
      </w:r>
      <w:r>
        <w:rPr>
          <w:rFonts w:ascii="Times New Roman" w:cs="Times New Roman" w:eastAsia="Times New Roman" w:hAnsi="Times New Roman"/>
          <w:sz w:val="18"/>
          <w:szCs w:val="18"/>
          <w:i w:val="1"/>
          <w:iCs w:val="1"/>
          <w:color w:val="auto"/>
        </w:rPr>
        <w:t>fictieve onroerende zaken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assets do not include and have not included real property situated in The Netherlands as described above.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Consequently, no Dutch real property transfer tax becomes payable upon an acquisition of our ordinary shares.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German Tax Considerations</w:t>
      </w:r>
    </w:p>
    <w:p>
      <w:pPr>
        <w:spacing w:after="0" w:line="22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following section is the opinion of Ebner Stolz Mönning Bachem Wirtschaftsprüfer Steuerberater Rechtsanwälte Partnerschaft mbB (“German Tax Counsel”) of the material German tax considerations that become relevant when purchasing, holding or transferring the Company’s shares. The Company expects and intends to have its sole place of management in Germany and, therefore, qualifies as a corporation subject to German unlimited corporate income taxation; however, because a company’s tax residency depends on future facts regarding the location in which the Company is managed and controlled, German Tax Counsel cannot opine as to whether the Company will actually qualify as a corporation subject to German unlimited corporate income taxation and such a scenario in which the company does not qualify as a corporation subject to German unlimited income taxation is not discussed herein. This section does not set forth all German tax aspects that may be relevant for shareholders. The section is based on the German tax law applicable as of the date of this prospectus. It should be noted that the law may change following the issuance of this prospectus and that such changes may have retroactive effect.</w:t>
      </w:r>
    </w:p>
    <w:p>
      <w:pPr>
        <w:spacing w:after="0" w:line="187" w:lineRule="exact"/>
        <w:rPr>
          <w:sz w:val="20"/>
          <w:szCs w:val="20"/>
          <w:color w:val="auto"/>
        </w:rPr>
      </w:pPr>
    </w:p>
    <w:p>
      <w:pPr>
        <w:ind w:right="140" w:firstLine="318"/>
        <w:spacing w:after="0" w:line="253" w:lineRule="auto"/>
        <w:rPr>
          <w:sz w:val="20"/>
          <w:szCs w:val="20"/>
          <w:color w:val="auto"/>
        </w:rPr>
      </w:pPr>
      <w:r>
        <w:rPr>
          <w:rFonts w:ascii="Times New Roman" w:cs="Times New Roman" w:eastAsia="Times New Roman" w:hAnsi="Times New Roman"/>
          <w:sz w:val="18"/>
          <w:szCs w:val="18"/>
          <w:color w:val="auto"/>
        </w:rPr>
        <w:t>The material German tax principles of purchasing, owning and transferring of shares are set forth in the following. This section does not purport to be a comprehensive or complete analysis or listing of all potential tax effects of the purchase, ownership or disposition of shares and does not set forth all tax considerations that may be relevant to a particular person’s decision to acquire ordinary shares. All of the following is subject to change. Such changes could apply retroactively and could affect the consequences set forth below. This section does not refer to any U.S. Foreign Account Tax Compliance Act aspects.</w:t>
      </w:r>
    </w:p>
    <w:p>
      <w:pPr>
        <w:spacing w:after="0" w:line="182"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Shareholders are advised to consult their own tax advisers with regard to the application of German tax law to their particular situations, in particular with respect to the procedure to be complied with to obtain a (potential) relief of withholding tax on dividends and on capital gains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and with respect to the influence of double tax treaty provisions, as well as any tax consequences arising under the laws of any state, local or other foreign jurisdiction. For German tax purposes, a “shareholder” may include an individual who or an entity that does not have the legal title to the shares, but to whom the shares are nevertheless attributed, based either on such individual or entity owning a beneficial interest in the shares or based on specific statutory provisions.</w:t>
      </w:r>
    </w:p>
    <w:p>
      <w:pPr>
        <w:spacing w:after="0" w:line="187" w:lineRule="exact"/>
        <w:rPr>
          <w:sz w:val="20"/>
          <w:szCs w:val="20"/>
          <w:color w:val="auto"/>
        </w:rPr>
      </w:pPr>
    </w:p>
    <w:p>
      <w:pPr>
        <w:ind w:right="100" w:firstLine="353"/>
        <w:spacing w:after="0" w:line="304" w:lineRule="auto"/>
        <w:rPr>
          <w:sz w:val="20"/>
          <w:szCs w:val="20"/>
          <w:color w:val="auto"/>
        </w:rPr>
      </w:pPr>
      <w:r>
        <w:rPr>
          <w:rFonts w:ascii="Times New Roman" w:cs="Times New Roman" w:eastAsia="Times New Roman" w:hAnsi="Times New Roman"/>
          <w:sz w:val="17"/>
          <w:szCs w:val="17"/>
          <w:color w:val="auto"/>
        </w:rPr>
        <w:t>This section does not constitute particular tax advice. Potential purchasers of the Company’s shares are urged to consult their own tax advisers regarding the tax consequences of the purchase, ownership and disposition of shares in light of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Tax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 on Dividends</w:t>
      </w:r>
    </w:p>
    <w:p>
      <w:pPr>
        <w:spacing w:after="0" w:line="22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Dividends distributed from a company to its shareholders are subject to withholding tax, subject to certain exemptions (for example, repayments of capital from the tax equity account (</w:t>
      </w:r>
      <w:r>
        <w:rPr>
          <w:rFonts w:ascii="Times New Roman" w:cs="Times New Roman" w:eastAsia="Times New Roman" w:hAnsi="Times New Roman"/>
          <w:sz w:val="18"/>
          <w:szCs w:val="18"/>
          <w:i w:val="1"/>
          <w:iCs w:val="1"/>
          <w:color w:val="auto"/>
        </w:rPr>
        <w:t>steuerliches Einlagekonto</w:t>
      </w:r>
      <w:r>
        <w:rPr>
          <w:rFonts w:ascii="Times New Roman" w:cs="Times New Roman" w:eastAsia="Times New Roman" w:hAnsi="Times New Roman"/>
          <w:sz w:val="18"/>
          <w:szCs w:val="18"/>
          <w:color w:val="auto"/>
        </w:rPr>
        <w:t>)), as described in the following. The withholding tax rate is 25% plus 5.5%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thereon (in total 26.375%) and, if applicable, church tax (</w:t>
      </w:r>
      <w:r>
        <w:rPr>
          <w:rFonts w:ascii="Times New Roman" w:cs="Times New Roman" w:eastAsia="Times New Roman" w:hAnsi="Times New Roman"/>
          <w:sz w:val="18"/>
          <w:szCs w:val="18"/>
          <w:i w:val="1"/>
          <w:iCs w:val="1"/>
          <w:color w:val="auto"/>
        </w:rPr>
        <w:t>Kirchensteuer</w:t>
      </w:r>
      <w:r>
        <w:rPr>
          <w:rFonts w:ascii="Times New Roman" w:cs="Times New Roman" w:eastAsia="Times New Roman" w:hAnsi="Times New Roman"/>
          <w:sz w:val="18"/>
          <w:szCs w:val="18"/>
          <w:color w:val="auto"/>
        </w:rPr>
        <w:t>) of the gross dividend approved by the ordinary shareholders’ meeting. Withholding tax is to be withheld and passed on for the account of the shareholders by a domestic branch of a domestic or foreign credit or financial services institution (</w:t>
      </w:r>
      <w:r>
        <w:rPr>
          <w:rFonts w:ascii="Times New Roman" w:cs="Times New Roman" w:eastAsia="Times New Roman" w:hAnsi="Times New Roman"/>
          <w:sz w:val="18"/>
          <w:szCs w:val="18"/>
          <w:i w:val="1"/>
          <w:iCs w:val="1"/>
          <w:color w:val="auto"/>
        </w:rPr>
        <w:t>Kredit- und Finanzdienstleistungsinstitut</w:t>
      </w:r>
      <w:r>
        <w:rPr>
          <w:rFonts w:ascii="Times New Roman" w:cs="Times New Roman" w:eastAsia="Times New Roman" w:hAnsi="Times New Roman"/>
          <w:sz w:val="18"/>
          <w:szCs w:val="18"/>
          <w:color w:val="auto"/>
        </w:rPr>
        <w:t>) or a domestic securities institution (</w:t>
      </w:r>
      <w:r>
        <w:rPr>
          <w:rFonts w:ascii="Times New Roman" w:cs="Times New Roman" w:eastAsia="Times New Roman" w:hAnsi="Times New Roman"/>
          <w:sz w:val="18"/>
          <w:szCs w:val="18"/>
          <w:i w:val="1"/>
          <w:iCs w:val="1"/>
          <w:color w:val="auto"/>
        </w:rPr>
        <w:t>inländisches Wertpapierinstitut</w:t>
      </w:r>
      <w:r>
        <w:rPr>
          <w:rFonts w:ascii="Times New Roman" w:cs="Times New Roman" w:eastAsia="Times New Roman" w:hAnsi="Times New Roman"/>
          <w:sz w:val="18"/>
          <w:szCs w:val="18"/>
          <w:color w:val="auto"/>
        </w:rPr>
        <w:t>) which keeps and administers the shares and disburses or credits the dividends or disburses the dividends to a foreign agent, or by the securities custodian bank (</w:t>
      </w:r>
      <w:r>
        <w:rPr>
          <w:rFonts w:ascii="Times New Roman" w:cs="Times New Roman" w:eastAsia="Times New Roman" w:hAnsi="Times New Roman"/>
          <w:sz w:val="18"/>
          <w:szCs w:val="18"/>
          <w:i w:val="1"/>
          <w:iCs w:val="1"/>
          <w:color w:val="auto"/>
        </w:rPr>
        <w:t>Wertpapiersammelbank</w:t>
      </w:r>
      <w:r>
        <w:rPr>
          <w:rFonts w:ascii="Times New Roman" w:cs="Times New Roman" w:eastAsia="Times New Roman" w:hAnsi="Times New Roman"/>
          <w:sz w:val="18"/>
          <w:szCs w:val="18"/>
          <w:color w:val="auto"/>
        </w:rPr>
        <w:t>) to which the shares were entrusted for collective custody if the dividends are distributed to a foreign agent by such securities custodian bank (which is referred to as the “Dividend Paying Agent”). In case the shares are not held in collective deposit with a Dividend Paying Agent, the company is responsible for withholding and remitting the tax to the competent tax office.</w:t>
      </w:r>
    </w:p>
    <w:p>
      <w:pPr>
        <w:spacing w:after="0" w:line="399" w:lineRule="exact"/>
        <w:rPr>
          <w:sz w:val="20"/>
          <w:szCs w:val="20"/>
          <w:color w:val="auto"/>
        </w:rPr>
      </w:pPr>
    </w:p>
    <w:p>
      <w:pPr>
        <w:ind w:right="80" w:firstLine="353"/>
        <w:spacing w:after="0" w:line="274" w:lineRule="auto"/>
        <w:rPr>
          <w:sz w:val="20"/>
          <w:szCs w:val="20"/>
          <w:color w:val="auto"/>
        </w:rPr>
      </w:pPr>
      <w:r>
        <w:rPr>
          <w:rFonts w:ascii="Times New Roman" w:cs="Times New Roman" w:eastAsia="Times New Roman" w:hAnsi="Times New Roman"/>
          <w:sz w:val="18"/>
          <w:szCs w:val="18"/>
          <w:color w:val="auto"/>
        </w:rPr>
        <w:t>Such withholding tax is levied and withheld irrespective of whether and to what extent the dividend distribution is taxable at the level of the shareholder and whether the shareholder is a person residing in Germany or in a foreign country.</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In the case of dividends distributed to a parent company within the meaning of Art. 3 of the amended EU Directive 2011/96/EU of the Council of November 30, 2011 (the “EU Parent Subsidiary Directive”) domiciled in another member state of the EU, an exemption from withholding tax will be granted upon request if further prerequisites are satisfied (</w:t>
      </w:r>
      <w:r>
        <w:rPr>
          <w:rFonts w:ascii="Times New Roman" w:cs="Times New Roman" w:eastAsia="Times New Roman" w:hAnsi="Times New Roman"/>
          <w:sz w:val="18"/>
          <w:szCs w:val="18"/>
          <w:i w:val="1"/>
          <w:iCs w:val="1"/>
          <w:color w:val="auto"/>
        </w:rPr>
        <w:t>Freistellung im Steuerabzugsverfahren</w:t>
      </w:r>
      <w:r>
        <w:rPr>
          <w:rFonts w:ascii="Times New Roman" w:cs="Times New Roman" w:eastAsia="Times New Roman" w:hAnsi="Times New Roman"/>
          <w:sz w:val="18"/>
          <w:szCs w:val="18"/>
          <w:color w:val="auto"/>
        </w:rPr>
        <w:t>). This also applies to dividends distributed to a permanent establishment located in another member state of the EU of such a parent company or of a parent company tax resident in Germany if the participation in the company is attributable to this permanent establishment. The key prerequisite for the application of the EU Parent Subsidiary Directive is that the shareholder has held a direct participation in the share capital of the company of at least 10% for at least twelve months. If such twelve-month period is only completed after the receipt of the dividends, an exemption is not possible based on the EU Parent Subsidiary Directive. Rather, only a refund of withholding tax might be possible, subject to further prerequisites.</w:t>
      </w:r>
    </w:p>
    <w:p>
      <w:pPr>
        <w:spacing w:after="0" w:line="19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withholding tax on distributions to other foreign resident shareholders might be reduced fully or partly in accordance with a double taxation treaty if Germany has concluded such double taxation treaty with the country of residence of the shareholder and if the shareholder does not hold his shares either as part of the assets of a permanent establishment or a fixed place of business in Germany or as business assets for which a permanent representative has been appointed in Germany. If the requirements for such a reduction are fulfilled, the reduction of the withholding tax would procedurally be granted in such a manner that the difference between the total amount withheld, including the solidarity surcharge, and the tax liability determined on the basis of the tax rate set forth in the applicable double taxation treaty (generally 15% unless further qualifications are met) is refunded by the German tax administration upon request (Federal Central Office for Taxes (</w:t>
      </w:r>
      <w:r>
        <w:rPr>
          <w:rFonts w:ascii="Times New Roman" w:cs="Times New Roman" w:eastAsia="Times New Roman" w:hAnsi="Times New Roman"/>
          <w:sz w:val="18"/>
          <w:szCs w:val="18"/>
          <w:i w:val="1"/>
          <w:iCs w:val="1"/>
          <w:color w:val="auto"/>
        </w:rPr>
        <w:t>Bundeszentralamt für Steuern</w:t>
      </w:r>
      <w:r>
        <w:rPr>
          <w:rFonts w:ascii="Times New Roman" w:cs="Times New Roman" w:eastAsia="Times New Roman" w:hAnsi="Times New Roman"/>
          <w:sz w:val="18"/>
          <w:szCs w:val="18"/>
          <w:color w:val="auto"/>
        </w:rPr>
        <w:t>), main office in Bonn-Beuel, An der Küppe 1, 53225 Bonn, Germany) subject to the treaty and German anti-abuse rules.</w:t>
      </w:r>
    </w:p>
    <w:p>
      <w:pPr>
        <w:spacing w:after="0" w:line="19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In the case of dividends received by corporations whose statutory seat and effective place of management are not located in Germany and who are therefore not tax resident in Germany, two-fifths of the withholding tax deducted and remitted are refunded without the need to fulfill all prerequisites required for such refund under the EU Parent Subsidiary Directive or under a double taxation treaty or if no double taxation treaty has been concluded with the state of residence of the shareholder.</w:t>
      </w:r>
    </w:p>
    <w:p>
      <w:pPr>
        <w:spacing w:after="0" w:line="182"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In order to receive a refund pursuant to a double taxation treaty or the aforementioned option for foreign corporations, the shareholder has to submit a completed form for refund (available at the Federal Central Office for Taxes (http://www.bzst.de) as well as at the German embassies and consulates) together with a withholding tax certificate (</w:t>
      </w:r>
      <w:r>
        <w:rPr>
          <w:rFonts w:ascii="Times New Roman" w:cs="Times New Roman" w:eastAsia="Times New Roman" w:hAnsi="Times New Roman"/>
          <w:sz w:val="18"/>
          <w:szCs w:val="18"/>
          <w:i w:val="1"/>
          <w:iCs w:val="1"/>
          <w:color w:val="auto"/>
        </w:rPr>
        <w:t>Kapitalertragsteuerbescheinigung</w:t>
      </w:r>
      <w:r>
        <w:rPr>
          <w:rFonts w:ascii="Times New Roman" w:cs="Times New Roman" w:eastAsia="Times New Roman" w:hAnsi="Times New Roman"/>
          <w:sz w:val="18"/>
          <w:szCs w:val="18"/>
          <w:color w:val="auto"/>
        </w:rPr>
        <w:t>) issued by the institution that withheld the tax.</w:t>
      </w:r>
    </w:p>
    <w:p>
      <w:pPr>
        <w:spacing w:after="0" w:line="182"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The exemption from withholding tax in accordance with the EU Parent Subsidiary Directive or a double tax treaty and the aforementioned options for a refund of the withholding tax (with or without protection under a double taxation treaty) depend on whether certain additional prerequisites (in particular so-called substance requirements) are fulfilled. The applicable withholding tax relief will only be granted if the preconditions of the German anti avoidance rules (so called Directive Override or Treaty Override), in particular Section 50d, paragraph 3, German Income Tax Act (</w:t>
      </w:r>
      <w:r>
        <w:rPr>
          <w:rFonts w:ascii="Times New Roman" w:cs="Times New Roman" w:eastAsia="Times New Roman" w:hAnsi="Times New Roman"/>
          <w:sz w:val="17"/>
          <w:szCs w:val="17"/>
          <w:i w:val="1"/>
          <w:iCs w:val="1"/>
          <w:color w:val="auto"/>
        </w:rPr>
        <w:t>Einkommensteuergesetz</w:t>
      </w:r>
      <w:r>
        <w:rPr>
          <w:rFonts w:ascii="Times New Roman" w:cs="Times New Roman" w:eastAsia="Times New Roman" w:hAnsi="Times New Roman"/>
          <w:sz w:val="17"/>
          <w:szCs w:val="17"/>
          <w:color w:val="auto"/>
        </w:rPr>
        <w:t>) in its current version upon receipt of the dividends are fulfilled. In addition, e. g. Article 28 of the Convention between the Federal Republic of Germany and the United States of America for the Avoidance of Double Taxation and the Prevention of Fiscal Evasion with respect to Taxes on Income and Capital and to certain other Taxes of August 29, 1989 in the amended version of June 4, 2008 (</w:t>
      </w:r>
      <w:r>
        <w:rPr>
          <w:rFonts w:ascii="Times New Roman" w:cs="Times New Roman" w:eastAsia="Times New Roman" w:hAnsi="Times New Roman"/>
          <w:sz w:val="17"/>
          <w:szCs w:val="17"/>
          <w:i w:val="1"/>
          <w:iCs w:val="1"/>
          <w:color w:val="auto"/>
        </w:rPr>
        <w:t>Bundesgesetzblatt II 2008, p. 611</w:t>
      </w:r>
      <w:r>
        <w:rPr>
          <w:rFonts w:ascii="Times New Roman" w:cs="Times New Roman" w:eastAsia="Times New Roman" w:hAnsi="Times New Roman"/>
          <w:sz w:val="17"/>
          <w:szCs w:val="17"/>
          <w:color w:val="auto"/>
        </w:rPr>
        <w:t>) provides for further prerequisites that need to be fulfilled in the case of a shareholder who is resident of the United States. Other treaties might provide for additional requirements.</w:t>
      </w:r>
    </w:p>
    <w:p>
      <w:pPr>
        <w:spacing w:after="0" w:line="173"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aforementioned reductions of (or exemptions from) withholding tax are further restricted if (i) the applicable double taxation treaty provides for a tax reduction resulting in an applicable tax rate of less than 15% and (ii) the shareholder is not a corporation that directly holds at least 10% in the equity capital of the distributing company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the distributing company for a minimum holding period of 45 consecutive days occurring within a period of 45 days prior and 45 days after the due date of the dividends, (ii) the shareholder has to bear at least 70% of the change in value risk related to the shares in the distributing company during the minimum holding period without being directly or indirectly hedged and (iii) the shareholder must not be required to fully or largely compensate directly or indirectly the dividends to third parties. However, these further prerequisites do not apply if the shareholder has been the beneficial owner of the shares in the distributing company for at least one uninterrupted year upon receipt of the dividends.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For individual or corporate shareholders tax resident outside Germany not holding the shares through a permanent establishment</w:t>
      </w:r>
    </w:p>
    <w:p>
      <w:pPr>
        <w:spacing w:after="0" w:line="2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Betriebsstätte</w:t>
      </w:r>
      <w:r>
        <w:rPr>
          <w:rFonts w:ascii="Times New Roman" w:cs="Times New Roman" w:eastAsia="Times New Roman" w:hAnsi="Times New Roman"/>
          <w:sz w:val="18"/>
          <w:szCs w:val="18"/>
          <w:color w:val="auto"/>
        </w:rPr>
        <w:t>) in Germany or as business assets (</w:t>
      </w:r>
      <w:r>
        <w:rPr>
          <w:rFonts w:ascii="Times New Roman" w:cs="Times New Roman" w:eastAsia="Times New Roman" w:hAnsi="Times New Roman"/>
          <w:sz w:val="18"/>
          <w:szCs w:val="18"/>
          <w:i w:val="1"/>
          <w:iCs w:val="1"/>
          <w:color w:val="auto"/>
        </w:rPr>
        <w:t>Betriebsvermögen</w:t>
      </w:r>
      <w:r>
        <w:rPr>
          <w:rFonts w:ascii="Times New Roman" w:cs="Times New Roman" w:eastAsia="Times New Roman" w:hAnsi="Times New Roman"/>
          <w:sz w:val="18"/>
          <w:szCs w:val="18"/>
          <w:color w:val="auto"/>
        </w:rPr>
        <w:t>) for which a permanent representative (</w:t>
      </w:r>
      <w:r>
        <w:rPr>
          <w:rFonts w:ascii="Times New Roman" w:cs="Times New Roman" w:eastAsia="Times New Roman" w:hAnsi="Times New Roman"/>
          <w:sz w:val="18"/>
          <w:szCs w:val="18"/>
          <w:i w:val="1"/>
          <w:iCs w:val="1"/>
          <w:color w:val="auto"/>
        </w:rPr>
        <w:t>ständiger Vertreter</w:t>
      </w:r>
      <w:r>
        <w:rPr>
          <w:rFonts w:ascii="Times New Roman" w:cs="Times New Roman" w:eastAsia="Times New Roman" w:hAnsi="Times New Roman"/>
          <w:sz w:val="18"/>
          <w:szCs w:val="18"/>
          <w:color w:val="auto"/>
        </w:rPr>
        <w:t>) has been appointed in Germany, any non-refundable part of any paid withholding tax (if any) is final (i.e., not creditable or otherwise refundable in respect of such shareholder’s income tax liability) and settles the shareholder’s limited tax liability in Germany. For individual or corporate shareholders tax resident in Germany (that are, for example, shareholders whose residence, domicile, registered office or place of management is located in Germany) holding their shares as business assets, as well as for shareholders tax resident outside of Germany holding their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the company’s shares as private assets, the withholding tax is generally a final tax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Pursuant to special rules on the restriction of the aforementioned withholding tax credit, the credit of withholding tax is subject to the following three cumulative prerequisites: (i) the shareholder must qualify as beneficial owner of the shares in the distributing company for a minimum holding period of 45 consecutive days occurring within a period of 45 days prior and 45 days after the due date of the dividends,</w:t>
      </w:r>
    </w:p>
    <w:p>
      <w:pPr>
        <w:spacing w:after="0" w:line="1" w:lineRule="exact"/>
        <w:rPr>
          <w:sz w:val="20"/>
          <w:szCs w:val="20"/>
          <w:color w:val="auto"/>
        </w:rPr>
      </w:pPr>
    </w:p>
    <w:p>
      <w:pPr>
        <w:ind w:right="20" w:firstLine="7"/>
        <w:spacing w:after="0" w:line="262" w:lineRule="auto"/>
        <w:tabs>
          <w:tab w:leader="none" w:pos="2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 has to bear at least 70% of the change in value risk related to the shares in the distributing company during the minimum holding period without being directly or indirectly hedged and (iii) the shareholder must not be required to fully or largely compensate directly or indirectly the dividends to third parties. Absent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A shareholder that has received gross dividends without any deduction of withholding tax in particular due to a tax exemption or to whom a withholding tax deduction has been refunded without qualifying for a full tax credit has to notify the competent local tax office accordingly, has to file withholding tax returns subject to specific filing requirements and has to make a payment in the amount of 15% withholding tax. The special rules on the restriction of withholding tax credit do not apply to a shareholder whose overall dividend earnings within an assessment period do not exceed €20,000 or that has been the beneficial owner of the shares in the company for at least one uninterrupted year upon receipt of the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 Income of Shareholders Tax Resident in Germany Holding the Company’s Shares as Private Assets</w:t>
      </w:r>
    </w:p>
    <w:p>
      <w:pPr>
        <w:spacing w:after="0" w:line="22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For individual shareholders (individuals) resident in Germany holding the Company’s shares as private assets, dividends are subject to a flat tax rate which is satisfied by the withholding tax actually withheld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Accordingly, dividend income will be taxed at a flat tax rate of 25% plus 5.5% solidarity surcharge thereon (in total 26.375%) and church tax (</w:t>
      </w:r>
      <w:r>
        <w:rPr>
          <w:rFonts w:ascii="Times New Roman" w:cs="Times New Roman" w:eastAsia="Times New Roman" w:hAnsi="Times New Roman"/>
          <w:sz w:val="18"/>
          <w:szCs w:val="18"/>
          <w:i w:val="1"/>
          <w:iCs w:val="1"/>
          <w:color w:val="auto"/>
        </w:rPr>
        <w:t>Kirchensteuer</w:t>
      </w:r>
      <w:r>
        <w:rPr>
          <w:rFonts w:ascii="Times New Roman" w:cs="Times New Roman" w:eastAsia="Times New Roman" w:hAnsi="Times New Roman"/>
          <w:sz w:val="18"/>
          <w:szCs w:val="18"/>
          <w:color w:val="auto"/>
        </w:rPr>
        <w:t>)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German Federal Tax Office (details related to the computation of the concrete tax rate including church tax are to be discussed with the individual tax adviser of the relevant shareholder). Except for an annual lump sum savings allowance (</w:t>
      </w:r>
      <w:r>
        <w:rPr>
          <w:rFonts w:ascii="Times New Roman" w:cs="Times New Roman" w:eastAsia="Times New Roman" w:hAnsi="Times New Roman"/>
          <w:sz w:val="18"/>
          <w:szCs w:val="18"/>
          <w:i w:val="1"/>
          <w:iCs w:val="1"/>
          <w:color w:val="auto"/>
        </w:rPr>
        <w:t>Sparer-Pauschbetrag</w:t>
      </w:r>
      <w:r>
        <w:rPr>
          <w:rFonts w:ascii="Times New Roman" w:cs="Times New Roman" w:eastAsia="Times New Roman" w:hAnsi="Times New Roman"/>
          <w:sz w:val="18"/>
          <w:szCs w:val="18"/>
          <w:color w:val="auto"/>
        </w:rPr>
        <w:t>) of up to €801 (for individual filers) or up to €1,602 (for married couples and for partners in accordance with the registered partnership law (</w:t>
      </w:r>
      <w:r>
        <w:rPr>
          <w:rFonts w:ascii="Times New Roman" w:cs="Times New Roman" w:eastAsia="Times New Roman" w:hAnsi="Times New Roman"/>
          <w:sz w:val="18"/>
          <w:szCs w:val="18"/>
          <w:i w:val="1"/>
          <w:iCs w:val="1"/>
          <w:color w:val="auto"/>
        </w:rPr>
        <w:t>Gesetz über die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Eingetragene Lebenspartnerschaft</w:t>
      </w:r>
      <w:r>
        <w:rPr>
          <w:rFonts w:ascii="Times New Roman" w:cs="Times New Roman" w:eastAsia="Times New Roman" w:hAnsi="Times New Roman"/>
          <w:sz w:val="18"/>
          <w:szCs w:val="18"/>
          <w:color w:val="auto"/>
        </w:rPr>
        <w:t>) filing jointly), private individual shareholders will not be entitled to deduct expenses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capital investment from their dividend income.</w:t>
      </w:r>
    </w:p>
    <w:p>
      <w:pPr>
        <w:spacing w:after="0" w:line="187"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income tax owed for the dividend income is satisfied by the withholding tax withheld by the Dividend Paying Agent. However, if the flat tax results in a higher tax burden as opposed to the private shareholder’s individual tax rate, the private shareholder can opt for taxation at his individual personal income tax rate </w:t>
      </w:r>
      <w:r>
        <w:rPr>
          <w:rFonts w:ascii="Times New Roman" w:cs="Times New Roman" w:eastAsia="Times New Roman" w:hAnsi="Times New Roman"/>
          <w:sz w:val="18"/>
          <w:szCs w:val="18"/>
          <w:i w:val="1"/>
          <w:iCs w:val="1"/>
          <w:color w:val="auto"/>
        </w:rPr>
        <w:t>(Günstigerprüfung)</w:t>
      </w:r>
      <w:r>
        <w:rPr>
          <w:rFonts w:ascii="Times New Roman" w:cs="Times New Roman" w:eastAsia="Times New Roman" w:hAnsi="Times New Roman"/>
          <w:sz w:val="18"/>
          <w:szCs w:val="18"/>
          <w:color w:val="auto"/>
        </w:rPr>
        <w:t>. In that case, the final withholding tax will be credited against the income tax. However, pursuant to the German tax authorities and a court ruling,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partners in accordance with the registered partnership law filing jointly may only jointly exercise the option.</w:t>
      </w:r>
    </w:p>
    <w:p>
      <w:pPr>
        <w:spacing w:after="0" w:line="187"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Exceptions from the flat tax rate (satisfied by withholding at source)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xml:space="preserve">) may apply - that is, only upon application - for shareholders who have a shareholding of at least 25% in the company and for shareholders who have a shareholding of at least 1% in the company and work for a company in a professional capacity through which the shareholder can exert significant entrepreneurial influence on the Company’s economic activity. In such a case, the same rules apply as for sole proprietors holding the shares as business assets. See “— </w:t>
      </w:r>
      <w:r>
        <w:rPr>
          <w:rFonts w:ascii="Times New Roman" w:cs="Times New Roman" w:eastAsia="Times New Roman" w:hAnsi="Times New Roman"/>
          <w:sz w:val="18"/>
          <w:szCs w:val="18"/>
          <w:i w:val="1"/>
          <w:iCs w:val="1"/>
          <w:color w:val="auto"/>
        </w:rPr>
        <w:t>Taxation of dividend income of shareholders tax resident in Germany holding the Company’s shares as business assets — Sole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proprietors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 Income of Shareholders Tax Resident in Germany Holding the Company’s Shares as Business Assets</w:t>
      </w:r>
    </w:p>
    <w:p>
      <w:pPr>
        <w:spacing w:after="0" w:line="220"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If a shareholder holds the company’s shares as business assets, the taxation of the dividend income depends on whether the respective shareholder is a corporation, a sole proprietor or a 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Corporations</w:t>
      </w:r>
    </w:p>
    <w:p>
      <w:pPr>
        <w:spacing w:after="0" w:line="220"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auto"/>
        </w:rPr>
        <w:t>Dividend income of corporate shareholders is exempt from corporate income tax, provided that the incorporated entity holds a direct participation of at least 10% in the share capital of a company at the beginning of the calendar year in which the dividends are paid. The acquisition of a participation of at least 10% in the course of a calendar year is deemed to have occurred at the beginning of such calendar year for the purpose of this rule. Participations in the share capital of the company which a corporate shareholder holds through a partnership, including co-entrepreneurships (</w:t>
      </w:r>
      <w:r>
        <w:rPr>
          <w:rFonts w:ascii="Times New Roman" w:cs="Times New Roman" w:eastAsia="Times New Roman" w:hAnsi="Times New Roman"/>
          <w:sz w:val="18"/>
          <w:szCs w:val="18"/>
          <w:i w:val="1"/>
          <w:iCs w:val="1"/>
          <w:color w:val="auto"/>
        </w:rPr>
        <w:t>Mitunternehmerschaften</w:t>
      </w:r>
      <w:r>
        <w:rPr>
          <w:rFonts w:ascii="Times New Roman" w:cs="Times New Roman" w:eastAsia="Times New Roman" w:hAnsi="Times New Roman"/>
          <w:sz w:val="18"/>
          <w:szCs w:val="18"/>
          <w:color w:val="auto"/>
        </w:rPr>
        <w:t>), are attributable to such corporate shareholder only on a pro rata basis at the ratio of the interest share of the corporate shareholder in the assets of the relevant partnership. However, 5% of the tax exempt dividends are deemed to be non-deductible business expenses for tax purposes and therefore are subject to corporate income tax (plus solidarity surcharge) and trade tax, i.e., tax exemption of 95%. Business expenses incurred in connection with the dividends received are generally entirely tax-deductible.</w:t>
      </w:r>
    </w:p>
    <w:p>
      <w:pPr>
        <w:spacing w:after="0" w:line="190"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Times New Roman" w:cs="Times New Roman" w:eastAsia="Times New Roman" w:hAnsi="Times New Roman"/>
          <w:sz w:val="18"/>
          <w:szCs w:val="18"/>
          <w:i w:val="1"/>
          <w:iCs w:val="1"/>
          <w:color w:val="auto"/>
        </w:rPr>
        <w:t>Erhebungszeitraum</w:t>
      </w:r>
      <w:r>
        <w:rPr>
          <w:rFonts w:ascii="Times New Roman" w:cs="Times New Roman" w:eastAsia="Times New Roman" w:hAnsi="Times New Roman"/>
          <w:sz w:val="18"/>
          <w:szCs w:val="18"/>
          <w:color w:val="auto"/>
        </w:rPr>
        <w:t>). In case of an indirect participation via a partnership please refer to the section “Partnerships” below.</w:t>
      </w:r>
    </w:p>
    <w:p>
      <w:pPr>
        <w:spacing w:after="0" w:line="182" w:lineRule="exact"/>
        <w:rPr>
          <w:sz w:val="20"/>
          <w:szCs w:val="20"/>
          <w:color w:val="auto"/>
        </w:rPr>
      </w:pPr>
    </w:p>
    <w:p>
      <w:pPr>
        <w:ind w:right="340" w:firstLine="318"/>
        <w:spacing w:after="0" w:line="304" w:lineRule="auto"/>
        <w:rPr>
          <w:sz w:val="20"/>
          <w:szCs w:val="20"/>
          <w:color w:val="auto"/>
        </w:rPr>
      </w:pPr>
      <w:r>
        <w:rPr>
          <w:rFonts w:ascii="Times New Roman" w:cs="Times New Roman" w:eastAsia="Times New Roman" w:hAnsi="Times New Roman"/>
          <w:sz w:val="17"/>
          <w:szCs w:val="17"/>
          <w:color w:val="auto"/>
        </w:rPr>
        <w:t>If the shareholding is below 10% in the share capital, dividends are taxable at the applicable corporate income tax rate of 15% plus 5.5% solidarity surcharge thereon and trade tax (the rate of which depends on the municipalities the corporate shareholder resides in).</w:t>
      </w:r>
    </w:p>
    <w:p>
      <w:pPr>
        <w:spacing w:after="0" w:line="14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Special regulations apply which abolish the 95% tax exemption if the company’s shares are held as trading portfolio assets in the meaning of Section 340e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by (i) a credit institution (</w:t>
      </w:r>
      <w:r>
        <w:rPr>
          <w:rFonts w:ascii="Times New Roman" w:cs="Times New Roman" w:eastAsia="Times New Roman" w:hAnsi="Times New Roman"/>
          <w:sz w:val="18"/>
          <w:szCs w:val="18"/>
          <w:i w:val="1"/>
          <w:iCs w:val="1"/>
          <w:color w:val="auto"/>
        </w:rPr>
        <w:t>Kreditinstitut</w:t>
      </w:r>
      <w:r>
        <w:rPr>
          <w:rFonts w:ascii="Times New Roman" w:cs="Times New Roman" w:eastAsia="Times New Roman" w:hAnsi="Times New Roman"/>
          <w:sz w:val="18"/>
          <w:szCs w:val="18"/>
          <w:color w:val="auto"/>
        </w:rPr>
        <w:t>) or (ii) a securities institution (</w:t>
      </w:r>
      <w:r>
        <w:rPr>
          <w:rFonts w:ascii="Times New Roman" w:cs="Times New Roman" w:eastAsia="Times New Roman" w:hAnsi="Times New Roman"/>
          <w:sz w:val="18"/>
          <w:szCs w:val="18"/>
          <w:i w:val="1"/>
          <w:iCs w:val="1"/>
          <w:color w:val="auto"/>
        </w:rPr>
        <w:t>Wertpapierinstitut</w:t>
      </w:r>
      <w:r>
        <w:rPr>
          <w:rFonts w:ascii="Times New Roman" w:cs="Times New Roman" w:eastAsia="Times New Roman" w:hAnsi="Times New Roman"/>
          <w:sz w:val="18"/>
          <w:szCs w:val="18"/>
          <w:color w:val="auto"/>
        </w:rPr>
        <w:t>) or (iii) a financial service institution (</w:t>
      </w:r>
      <w:r>
        <w:rPr>
          <w:rFonts w:ascii="Times New Roman" w:cs="Times New Roman" w:eastAsia="Times New Roman" w:hAnsi="Times New Roman"/>
          <w:sz w:val="18"/>
          <w:szCs w:val="18"/>
          <w:i w:val="1"/>
          <w:iCs w:val="1"/>
          <w:color w:val="auto"/>
        </w:rPr>
        <w:t>Finanzdienstleistungsinstitut</w:t>
      </w:r>
      <w:r>
        <w:rPr>
          <w:rFonts w:ascii="Times New Roman" w:cs="Times New Roman" w:eastAsia="Times New Roman" w:hAnsi="Times New Roman"/>
          <w:sz w:val="18"/>
          <w:szCs w:val="18"/>
          <w:color w:val="auto"/>
        </w:rPr>
        <w:t>). The 95% tax exemption is also abolished if the company’s shares have to be shown as current assets at the time of acquisition by a financial enterprise within the meaning of the German Banking Act (</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in case more than 50% of the shares of such financial enterprise are held directly or indirectly by a credit institution or a securities institution or a financial service institution, as well as if the company’s shares are held by a life insurance company, a health insurance company or a pension fund in case the shares are attributable to the capital investments, resulting in fully taxable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Sole Proprietors</w:t>
      </w:r>
    </w:p>
    <w:p>
      <w:pPr>
        <w:spacing w:after="0" w:line="220"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For sole proprietors (individuals) resident in Germany holding shares as business assets, dividends are subject to the partial income 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Accordingly, only (i) 60% of the dividend income will be taxed at his/her individual personal income tax rate plus 5.5% solidarity surcharge thereon and church tax (if applicable) and (ii) 60% of the business expenses related to the dividend income are deductible for tax purposes. In addition, the dividend income is entirely subject to trade tax if the shares are held as business assets of a permanent establishment in Germany within the meaning of the German Trade Tax Act (</w:t>
      </w:r>
      <w:r>
        <w:rPr>
          <w:rFonts w:ascii="Times New Roman" w:cs="Times New Roman" w:eastAsia="Times New Roman" w:hAnsi="Times New Roman"/>
          <w:sz w:val="18"/>
          <w:szCs w:val="18"/>
          <w:i w:val="1"/>
          <w:iCs w:val="1"/>
          <w:color w:val="auto"/>
        </w:rPr>
        <w:t>Gewerbesteuergesetz</w:t>
      </w:r>
      <w:r>
        <w:rPr>
          <w:rFonts w:ascii="Times New Roman" w:cs="Times New Roman" w:eastAsia="Times New Roman" w:hAnsi="Times New Roman"/>
          <w:sz w:val="18"/>
          <w:szCs w:val="18"/>
          <w:color w:val="auto"/>
        </w:rPr>
        <w:t>), unless the shareholder holds at least 15% of the company’s registered share capital at the beginning of the relevant tax assessment period. The trade tax levied is generally eligible for credit against the shareholder’s personal income tax liability based on the applicable municipal trade tax rate (but limited to a maximum rate) and the individual tax situation of the shareholder.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220" w:lineRule="exact"/>
        <w:rPr>
          <w:sz w:val="20"/>
          <w:szCs w:val="20"/>
          <w:color w:val="auto"/>
        </w:rPr>
      </w:pPr>
    </w:p>
    <w:p>
      <w:pPr>
        <w:jc w:val="both"/>
        <w:ind w:right="300" w:firstLine="318"/>
        <w:spacing w:after="0" w:line="260" w:lineRule="auto"/>
        <w:rPr>
          <w:sz w:val="20"/>
          <w:szCs w:val="20"/>
          <w:color w:val="auto"/>
        </w:rPr>
      </w:pPr>
      <w:r>
        <w:rPr>
          <w:rFonts w:ascii="Times New Roman" w:cs="Times New Roman" w:eastAsia="Times New Roman" w:hAnsi="Times New Roman"/>
          <w:sz w:val="18"/>
          <w:szCs w:val="18"/>
          <w:color w:val="auto"/>
        </w:rPr>
        <w:t>In case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profit and depending on their individual circumstances.</w:t>
      </w:r>
    </w:p>
    <w:p>
      <w:pPr>
        <w:spacing w:after="0" w:line="176" w:lineRule="exact"/>
        <w:rPr>
          <w:sz w:val="20"/>
          <w:szCs w:val="20"/>
          <w:color w:val="auto"/>
        </w:rPr>
      </w:pPr>
    </w:p>
    <w:p>
      <w:pPr>
        <w:ind w:right="740" w:firstLine="353"/>
        <w:spacing w:after="0" w:line="274" w:lineRule="auto"/>
        <w:rPr>
          <w:sz w:val="20"/>
          <w:szCs w:val="20"/>
          <w:color w:val="auto"/>
        </w:rPr>
      </w:pPr>
      <w:r>
        <w:rPr>
          <w:rFonts w:ascii="Times New Roman" w:cs="Times New Roman" w:eastAsia="Times New Roman" w:hAnsi="Times New Roman"/>
          <w:sz w:val="18"/>
          <w:szCs w:val="18"/>
          <w:color w:val="auto"/>
        </w:rPr>
        <w:t xml:space="preserve">If the partner is a corporation, the dividend income will be subject to corporate income tax plus solidarity surcharge. See “— </w:t>
      </w:r>
      <w:r>
        <w:rPr>
          <w:rFonts w:ascii="Times New Roman" w:cs="Times New Roman" w:eastAsia="Times New Roman" w:hAnsi="Times New Roman"/>
          <w:sz w:val="18"/>
          <w:szCs w:val="18"/>
          <w:i w:val="1"/>
          <w:iCs w:val="1"/>
          <w:color w:val="auto"/>
        </w:rPr>
        <w:t>Corporations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If the partner is an individual, the dividend income will be subject to the partial income rule. See “— </w:t>
      </w:r>
      <w:r>
        <w:rPr>
          <w:rFonts w:ascii="Times New Roman" w:cs="Times New Roman" w:eastAsia="Times New Roman" w:hAnsi="Times New Roman"/>
          <w:sz w:val="18"/>
          <w:szCs w:val="18"/>
          <w:i w:val="1"/>
          <w:iCs w:val="1"/>
          <w:color w:val="auto"/>
        </w:rPr>
        <w:t>Sole Proprietors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dividend income is subject to trade tax at the level of the partnership (provided that the partnership is liable to trade tax), unless the partnership holds at least 15% of a company’s registered share capital at the beginning of the relevant assessment period, in which case the dividend income is exempt from trade tax. There are no explicit statutory provisions concerning the taxation of dividends with regard to a corporate shareholder of the partnership. However, trade tax should be levied on 5% of the dividends to the extent they are attributable to the shares of such corporate partners to whom at least 10% of the shares of the company are attributable on a look-through basis, since such portion of the dividends should be deemed to be non-deductible business expenses.</w:t>
      </w:r>
    </w:p>
    <w:p>
      <w:pPr>
        <w:spacing w:after="0" w:line="187" w:lineRule="exact"/>
        <w:rPr>
          <w:sz w:val="20"/>
          <w:szCs w:val="20"/>
          <w:color w:val="auto"/>
        </w:rPr>
      </w:pPr>
    </w:p>
    <w:p>
      <w:pPr>
        <w:jc w:val="both"/>
        <w:ind w:right="120" w:firstLine="318"/>
        <w:spacing w:after="0" w:line="260" w:lineRule="auto"/>
        <w:rPr>
          <w:sz w:val="20"/>
          <w:szCs w:val="20"/>
          <w:color w:val="auto"/>
        </w:rPr>
      </w:pPr>
      <w:r>
        <w:rPr>
          <w:rFonts w:ascii="Times New Roman" w:cs="Times New Roman" w:eastAsia="Times New Roman" w:hAnsi="Times New Roman"/>
          <w:sz w:val="18"/>
          <w:szCs w:val="18"/>
          <w:color w:val="auto"/>
        </w:rPr>
        <w:t>If a partner is an individual, depending on the applicable municipal trade tax rate and the individual tax situation, the trade tax paid at the level of the partnership is generally partly or entirely credited against the partner’s personal income tax liability, if further prerequisites are satisfied.</w:t>
      </w:r>
    </w:p>
    <w:p>
      <w:pPr>
        <w:spacing w:after="0" w:line="176" w:lineRule="exact"/>
        <w:rPr>
          <w:sz w:val="20"/>
          <w:szCs w:val="20"/>
          <w:color w:val="auto"/>
        </w:rPr>
      </w:pPr>
    </w:p>
    <w:p>
      <w:pPr>
        <w:ind w:right="600" w:firstLine="318"/>
        <w:spacing w:after="0" w:line="260" w:lineRule="auto"/>
        <w:rPr>
          <w:sz w:val="20"/>
          <w:szCs w:val="20"/>
          <w:color w:val="auto"/>
        </w:rPr>
      </w:pPr>
      <w:r>
        <w:rPr>
          <w:rFonts w:ascii="Times New Roman" w:cs="Times New Roman" w:eastAsia="Times New Roman" w:hAnsi="Times New Roman"/>
          <w:sz w:val="18"/>
          <w:szCs w:val="18"/>
          <w:color w:val="auto"/>
        </w:rPr>
        <w:t>Special regulations apply if the shares are held as trading portfolio assets by a partnership that qualifies as a credit institution, a securities institution, a financial service institution or a financial enterprise within the meaning of the German Banking Act (</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In that case the partial income 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is not applicable.</w:t>
      </w:r>
    </w:p>
    <w:p>
      <w:pPr>
        <w:spacing w:after="0" w:line="17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color w:val="auto"/>
        </w:rPr>
        <w:t>In case of a corporation being a partner, special regulations apply with respect to trading portfolio assets of credit institutions, securities institutions, financial service institutions or financial enterprises within the meaning of the German Banking Act (</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or life insurance companies, health insurance companies or pension funds. See “— Corporations.”</w:t>
      </w:r>
    </w:p>
    <w:p>
      <w:pPr>
        <w:spacing w:after="0" w:line="17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actual trade tax charge, if any, at the level of the partnership depends on the shareholding quota of the partnership and the nature of the partners (e.g., individual or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 Income of Shareholders Tax Resident Outside of Germany</w:t>
      </w:r>
    </w:p>
    <w:p>
      <w:pPr>
        <w:spacing w:after="0" w:line="220" w:lineRule="exact"/>
        <w:rPr>
          <w:sz w:val="20"/>
          <w:szCs w:val="20"/>
          <w:color w:val="auto"/>
        </w:rPr>
      </w:pPr>
    </w:p>
    <w:p>
      <w:pPr>
        <w:ind w:right="220" w:firstLine="318"/>
        <w:spacing w:after="0" w:line="253" w:lineRule="auto"/>
        <w:rPr>
          <w:sz w:val="20"/>
          <w:szCs w:val="20"/>
          <w:color w:val="auto"/>
        </w:rPr>
      </w:pPr>
      <w:r>
        <w:rPr>
          <w:rFonts w:ascii="Times New Roman" w:cs="Times New Roman" w:eastAsia="Times New Roman" w:hAnsi="Times New Roman"/>
          <w:sz w:val="18"/>
          <w:szCs w:val="18"/>
          <w:color w:val="auto"/>
        </w:rPr>
        <w:t>For foreign individual or corporate shareholders tax resident outside of Germany not holding the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spacing w:after="0" w:line="182"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In contrast, individual or corporate shareholders tax resident outside of Germany holding the company’s shares through a permanent establishment in Germany or as business assets for which a permanent representative has been appointed in Germany are subject to the same rules as applicable (and described above) to shareholders resident in Germany holding the shares as business assets. The withholding tax withheld (including solidarity surcharge) is credited against the shareholder’s personal income tax or corporate income tax liability in Germany.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Capital Gains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 on Capital Gains</w:t>
      </w:r>
    </w:p>
    <w:p>
      <w:pPr>
        <w:spacing w:after="0" w:line="220"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Capital gains realized on the disposal of shares are subject to withholding tax if a German branch of a German or foreign credit or financial institution, a German securities trading company or a German securities trading bank stores or administrates or carries out the sale of the shares and pays or credits the capital gains. In those cases, the institution (and not the company) is required to deduct the withholding tax at the time of payment for the account of the shareholder and has to pay the withholding tax to the competent tax authority. In case the shares are held (i) as business assets by a sole proprietor, a partnership or a corporation and such shares are attributable to a German business or (ii) in case of a corporation being subject to unlimited corporate income tax liability in Germany, the capital gains are not subject to withholding tax. In case of clause (i), the withholding tax exemption is subject to the condition that the paying agent has been notified by the beneficiary (</w:t>
      </w:r>
      <w:r>
        <w:rPr>
          <w:rFonts w:ascii="Times New Roman" w:cs="Times New Roman" w:eastAsia="Times New Roman" w:hAnsi="Times New Roman"/>
          <w:sz w:val="18"/>
          <w:szCs w:val="18"/>
          <w:i w:val="1"/>
          <w:iCs w:val="1"/>
          <w:color w:val="auto"/>
        </w:rPr>
        <w:t>Gläubiger</w:t>
      </w:r>
      <w:r>
        <w:rPr>
          <w:rFonts w:ascii="Times New Roman" w:cs="Times New Roman" w:eastAsia="Times New Roman" w:hAnsi="Times New Roman"/>
          <w:sz w:val="18"/>
          <w:szCs w:val="18"/>
          <w:color w:val="auto"/>
        </w:rPr>
        <w:t>) that the capital gains are exempt from withholding tax. The respective notification has to be filed by using the officially prescribed form.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 Realized by Shareholders Tax Resident in Germany Holding Shares as Private Assets</w:t>
      </w:r>
    </w:p>
    <w:p>
      <w:pPr>
        <w:spacing w:after="0" w:line="22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For individual shareholders (individuals) resident in Germany holding shares as private assets, capital gains realized on the disposal of shares are subject to final withholding tax. Accordingly, capital gains will be taxed at a flat tax rate of 25% plus a 5.5% solidarity surcharge thereon (in total 26.375%) and church tax,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German Central Federal Tax Office (details related to the computation of the concrete tax rate including church tax are to be discussed with the individual tax adviser of the relevant shareholder). The taxable capital gain is calculated by deducting the acquisition costs of the shares and the expenses directly related to the disposal from the proceeds of the disposal. Apart from that, except for an annual lump sum savings allowance (</w:t>
      </w:r>
      <w:r>
        <w:rPr>
          <w:rFonts w:ascii="Times New Roman" w:cs="Times New Roman" w:eastAsia="Times New Roman" w:hAnsi="Times New Roman"/>
          <w:sz w:val="18"/>
          <w:szCs w:val="18"/>
          <w:i w:val="1"/>
          <w:iCs w:val="1"/>
          <w:color w:val="auto"/>
        </w:rPr>
        <w:t>Sparer-Pauschbetrag</w:t>
      </w:r>
      <w:r>
        <w:rPr>
          <w:rFonts w:ascii="Times New Roman" w:cs="Times New Roman" w:eastAsia="Times New Roman" w:hAnsi="Times New Roman"/>
          <w:sz w:val="18"/>
          <w:szCs w:val="18"/>
          <w:color w:val="auto"/>
        </w:rPr>
        <w:t>) of up to €801 (for individual filers) or up to €1,602 (for married couples and for partners in accordance with the registered partnership law (</w:t>
      </w:r>
      <w:r>
        <w:rPr>
          <w:rFonts w:ascii="Times New Roman" w:cs="Times New Roman" w:eastAsia="Times New Roman" w:hAnsi="Times New Roman"/>
          <w:sz w:val="18"/>
          <w:szCs w:val="18"/>
          <w:i w:val="1"/>
          <w:iCs w:val="1"/>
          <w:color w:val="auto"/>
        </w:rPr>
        <w:t>Gesetz über die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Eingetragene Lebenspartnerschaft</w:t>
      </w:r>
      <w:r>
        <w:rPr>
          <w:rFonts w:ascii="Times New Roman" w:cs="Times New Roman" w:eastAsia="Times New Roman" w:hAnsi="Times New Roman"/>
          <w:sz w:val="18"/>
          <w:szCs w:val="18"/>
          <w:color w:val="auto"/>
        </w:rPr>
        <w:t>) filing jointly), private individual shareholders will not be entitled to deduct expenses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capital investment from their capital gain.</w:t>
      </w:r>
    </w:p>
    <w:p>
      <w:pPr>
        <w:spacing w:after="0" w:line="194" w:lineRule="exact"/>
        <w:rPr>
          <w:sz w:val="20"/>
          <w:szCs w:val="20"/>
          <w:color w:val="auto"/>
        </w:rPr>
      </w:pPr>
    </w:p>
    <w:p>
      <w:pPr>
        <w:ind w:right="60" w:firstLine="318"/>
        <w:spacing w:after="0" w:line="269" w:lineRule="auto"/>
        <w:rPr>
          <w:sz w:val="20"/>
          <w:szCs w:val="20"/>
          <w:color w:val="auto"/>
        </w:rPr>
      </w:pPr>
      <w:r>
        <w:rPr>
          <w:rFonts w:ascii="Times New Roman" w:cs="Times New Roman" w:eastAsia="Times New Roman" w:hAnsi="Times New Roman"/>
          <w:sz w:val="17"/>
          <w:szCs w:val="17"/>
          <w:color w:val="auto"/>
        </w:rPr>
        <w:t xml:space="preserve">In case the flat tax results in a higher tax burden as opposed to the private shareholder’s individual tax rate, the private shareholder can opt for taxation at his or her individual personal income tax rate </w:t>
      </w:r>
      <w:r>
        <w:rPr>
          <w:rFonts w:ascii="Times New Roman" w:cs="Times New Roman" w:eastAsia="Times New Roman" w:hAnsi="Times New Roman"/>
          <w:sz w:val="17"/>
          <w:szCs w:val="17"/>
          <w:i w:val="1"/>
          <w:iCs w:val="1"/>
          <w:color w:val="auto"/>
        </w:rPr>
        <w:t>(Günstigerprüfung)</w:t>
      </w:r>
      <w:r>
        <w:rPr>
          <w:rFonts w:ascii="Times New Roman" w:cs="Times New Roman" w:eastAsia="Times New Roman" w:hAnsi="Times New Roman"/>
          <w:sz w:val="17"/>
          <w:szCs w:val="17"/>
          <w:color w:val="auto"/>
        </w:rPr>
        <w:t>. In that case, the withholding tax (including solidarity surcharge) withheld will be credited against the income tax. However, pursuant to the German tax authorities and case law the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71"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7"/>
          <w:szCs w:val="17"/>
          <w:color w:val="auto"/>
        </w:rPr>
        <w:t>Capital losses arising from the sale of the shares can only be offset against other capital gains resulting from the disposition of the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sale of shares in stock corporations in future years. In case of a derecognition or transfer of worthless shares (or other capital assets), the utilization of such loss is further restricted and can only be offset up to the amount of €20,000 per calendar year.</w:t>
      </w:r>
    </w:p>
    <w:p>
      <w:pPr>
        <w:spacing w:after="0" w:line="170"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final withholding tax would not apply if the seller of the shares or, in the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Accordingly, only (i) 60% of the capital gains would be taxed at his/her individual personal income tax rate plus a 5.5% solidarity surcharge thereon and church tax (if applicable) and (ii) 60% of the business expenses related to the capital gains are deductible for tax purposes. The withholding tax withheld (including solidarity surcharge) would be credited against the shareholder’s personal income tax liability in Germany.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 Realized by Shareholders Tax Resident in Germany Holding the Company’s Shares as Business Assets</w:t>
      </w:r>
    </w:p>
    <w:p>
      <w:pPr>
        <w:spacing w:after="0" w:line="22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If a shareholder holds shares as business assets, the taxation of capital gains realized on the disposal of such shares depends on whether the respective shareholder is a corporation, a sole proprietor or a 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Corporations</w:t>
      </w:r>
    </w:p>
    <w:p>
      <w:pPr>
        <w:spacing w:after="0" w:line="220"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Capital gains realized on the disposal of shares by a corporate shareholder are generally exempt from corporate income tax and trade tax. However, 5% of the tax-exempt capital gains are deemed to be non-deductible business expenses for tax purposes and therefore are subject to corporate income tax (plus solidarity surcharge) and trade tax, i.e., tax exemption of 95%. Business expenses incurred in connection with the capital gains are entirely tax-deductible.</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Capital losses incurred upon the disposal of shares or other impairments of the share value are not tax-deductible.</w:t>
      </w:r>
    </w:p>
    <w:p>
      <w:pPr>
        <w:spacing w:after="0" w:line="218" w:lineRule="exact"/>
        <w:rPr>
          <w:sz w:val="20"/>
          <w:szCs w:val="20"/>
          <w:color w:val="auto"/>
        </w:rPr>
      </w:pPr>
    </w:p>
    <w:p>
      <w:pPr>
        <w:ind w:right="320" w:firstLine="318"/>
        <w:spacing w:after="0" w:line="255" w:lineRule="auto"/>
        <w:rPr>
          <w:sz w:val="20"/>
          <w:szCs w:val="20"/>
          <w:color w:val="auto"/>
        </w:rPr>
      </w:pPr>
      <w:r>
        <w:rPr>
          <w:rFonts w:ascii="Times New Roman" w:cs="Times New Roman" w:eastAsia="Times New Roman" w:hAnsi="Times New Roman"/>
          <w:sz w:val="18"/>
          <w:szCs w:val="18"/>
          <w:color w:val="auto"/>
        </w:rPr>
        <w:t>Special regulations apply if the shares are held as trading portfolio assets by a credit institution, a securities institution, a financial service institution or a financial enterprise within the meaning of the German Banking Act (</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xml:space="preserve">) as well as by a life insurance company, a health insurance company or a pension fund. See “— </w:t>
      </w:r>
      <w:r>
        <w:rPr>
          <w:rFonts w:ascii="Times New Roman" w:cs="Times New Roman" w:eastAsia="Times New Roman" w:hAnsi="Times New Roman"/>
          <w:sz w:val="18"/>
          <w:szCs w:val="18"/>
          <w:i w:val="1"/>
          <w:iCs w:val="1"/>
          <w:color w:val="auto"/>
        </w:rPr>
        <w:t>Taxation of dividend income of shareholders tax resident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Germany holding the Company’s shares as business assets — Corporations.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Sole Proprietors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the shares are held by a sole proprietor, capital gains realized on the disposal of the shares are subject to the partial income</w:t>
      </w:r>
    </w:p>
    <w:p>
      <w:pPr>
        <w:spacing w:after="0" w:line="2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Accordingly, only (i) 60% of the capital gains will be taxed at his/her individual personal income tax rate plus a 5.5% solidarity surcharge thereon and church tax (if applicable) and (ii) 60% of the business expenses related to the capital gains are deductible for tax purposes. In addition, 60% of the capital gains are subject to trade tax if the shares are held as business assets of a permanent establishment in Germany within the meaning of the German Trade Tax Act (</w:t>
      </w:r>
      <w:r>
        <w:rPr>
          <w:rFonts w:ascii="Times New Roman" w:cs="Times New Roman" w:eastAsia="Times New Roman" w:hAnsi="Times New Roman"/>
          <w:sz w:val="18"/>
          <w:szCs w:val="18"/>
          <w:i w:val="1"/>
          <w:iCs w:val="1"/>
          <w:color w:val="auto"/>
        </w:rPr>
        <w:t>Gewerbesteuergesetz</w:t>
      </w:r>
      <w:r>
        <w:rPr>
          <w:rFonts w:ascii="Times New Roman" w:cs="Times New Roman" w:eastAsia="Times New Roman" w:hAnsi="Times New Roman"/>
          <w:sz w:val="18"/>
          <w:szCs w:val="18"/>
          <w:color w:val="auto"/>
        </w:rPr>
        <w:t>). The trade tax levied, depending on the applicable municipal trade tax rate and the individual tax situation, is generally partly or entirely credited (but limited to a maximum rate) against the shareholder’s personal income tax liability.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220"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In case the shares are held by a partnership, the partnership itself is not subject to corporate income tax or personal income tax as well as a solidarity surcharge (and church tax) since partnerships qualify as transparent for German tax purposes. In this regard, corporate income tax or personal income tax as well as a solidarity surcharge (and church tax, if applicable), are levied only at the level of the partner with respect to their relevant part of the profit and depending on their individual circumstances.</w:t>
      </w:r>
    </w:p>
    <w:p>
      <w:pPr>
        <w:spacing w:after="0" w:line="182"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If the partner is a corporation, the capital gains will be subject to corporate income tax plus a solidarity surcharge at the level of the partner. See “— Corporations.” Trade tax will be levied at the level of the partnership. With respect to both corporate income and trade tax, the 95% exemption rule as described above applies.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If the partner is an individual, the capital gains are subject to the partial income rule. See “— </w:t>
      </w:r>
      <w:r>
        <w:rPr>
          <w:rFonts w:ascii="Times New Roman" w:cs="Times New Roman" w:eastAsia="Times New Roman" w:hAnsi="Times New Roman"/>
          <w:sz w:val="18"/>
          <w:szCs w:val="18"/>
          <w:i w:val="1"/>
          <w:iCs w:val="1"/>
          <w:color w:val="auto"/>
        </w:rPr>
        <w:t>Sole Proprietors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In addition, if the partnership is liable to trade tax, 60% of the capital gains are subject to trade tax at the level of the partnership, to the extent the partners are individuals, and 5% of the capital gains are subject to trade tax, to the extent the partners are corporations. However, if a partner is an individual, depending on the applicable municipal trade tax rate and the individual tax situation, the trade tax paid at the level of the partnership is generally partly or entirely credited against the partner’s personal income tax liability (but limited to a maximum rate), if further prerequisites are satisfied.</w:t>
      </w:r>
    </w:p>
    <w:p>
      <w:pPr>
        <w:spacing w:after="0" w:line="182" w:lineRule="exact"/>
        <w:rPr>
          <w:sz w:val="20"/>
          <w:szCs w:val="20"/>
          <w:color w:val="auto"/>
        </w:rPr>
      </w:pPr>
    </w:p>
    <w:p>
      <w:pPr>
        <w:ind w:right="580" w:firstLine="318"/>
        <w:spacing w:after="0" w:line="260" w:lineRule="auto"/>
        <w:rPr>
          <w:sz w:val="20"/>
          <w:szCs w:val="20"/>
          <w:color w:val="auto"/>
        </w:rPr>
      </w:pPr>
      <w:r>
        <w:rPr>
          <w:rFonts w:ascii="Times New Roman" w:cs="Times New Roman" w:eastAsia="Times New Roman" w:hAnsi="Times New Roman"/>
          <w:sz w:val="18"/>
          <w:szCs w:val="18"/>
          <w:color w:val="auto"/>
        </w:rPr>
        <w:t>Special regulations apply if the shares are held as trading portfolio assets by a partnership that qualifies as a credit institution, a securities institution, a financial service institution or a financial enterprise within the meaning of the German Banking Act (</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In that case the partial income 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is not applicable.</w:t>
      </w:r>
    </w:p>
    <w:p>
      <w:pPr>
        <w:spacing w:after="0" w:line="176" w:lineRule="exact"/>
        <w:rPr>
          <w:sz w:val="20"/>
          <w:szCs w:val="20"/>
          <w:color w:val="auto"/>
        </w:rPr>
      </w:pPr>
    </w:p>
    <w:p>
      <w:pPr>
        <w:ind w:right="160" w:firstLine="318"/>
        <w:spacing w:after="0" w:line="260" w:lineRule="auto"/>
        <w:rPr>
          <w:sz w:val="20"/>
          <w:szCs w:val="20"/>
          <w:color w:val="auto"/>
        </w:rPr>
      </w:pPr>
      <w:r>
        <w:rPr>
          <w:rFonts w:ascii="Times New Roman" w:cs="Times New Roman" w:eastAsia="Times New Roman" w:hAnsi="Times New Roman"/>
          <w:sz w:val="18"/>
          <w:szCs w:val="18"/>
          <w:color w:val="auto"/>
        </w:rPr>
        <w:t>With regard to corporate partners, special regulations apply if they are held as trading portfolio assets by credit institutions, securities institutions, financial service institutions or financial enterprises within the meaning of the German Banking Act or life insurance companies, health insurance companies or pension funds, as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 Realized by Shareholders Tax Resident Outside of Germany</w:t>
      </w:r>
    </w:p>
    <w:p>
      <w:pPr>
        <w:spacing w:after="0" w:line="22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 xml:space="preserve">Capital gains realized on the disposal of the shares by a shareholder tax resident outside of Germany are subject to German taxation provided that (i) the company’s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 shareholders resident in Germany. However, in case the shares held by a non-German tax resident corporation are not attributable to a German permanent establishment or permanent representative, the 5% taxation (see “— </w:t>
      </w:r>
      <w:r>
        <w:rPr>
          <w:rFonts w:ascii="Times New Roman" w:cs="Times New Roman" w:eastAsia="Times New Roman" w:hAnsi="Times New Roman"/>
          <w:sz w:val="18"/>
          <w:szCs w:val="18"/>
          <w:i w:val="1"/>
          <w:iCs w:val="1"/>
          <w:color w:val="auto"/>
        </w:rPr>
        <w:t>Taxation of capital gains realized by shareholders tax resident in Germany holding the company’s shares as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as a consequence of deemed non-deductible business expenses shall not apply to such non- German tax resident shareholders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capital gains are consequently fully exempt from German corporate income and trade tax.</w:t>
      </w:r>
    </w:p>
    <w:p>
      <w:pPr>
        <w:spacing w:after="0" w:line="19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However, except for the cases referred to in clause (i) above, some of the double tax treaties concluded with Germany provide for a full exemption from German taxation.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Inheritance and Gift Tax</w:t>
      </w:r>
    </w:p>
    <w:p>
      <w:pPr>
        <w:spacing w:after="0" w:line="222"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transfer of the shares in Sono Group N.V. to another person by way of succession or donation is subject to German inheritance and gift tax (</w:t>
      </w:r>
      <w:r>
        <w:rPr>
          <w:rFonts w:ascii="Times New Roman" w:cs="Times New Roman" w:eastAsia="Times New Roman" w:hAnsi="Times New Roman"/>
          <w:sz w:val="18"/>
          <w:szCs w:val="18"/>
          <w:i w:val="1"/>
          <w:iCs w:val="1"/>
          <w:color w:val="auto"/>
        </w:rPr>
        <w:t>Erbschaft- und Schenkungsteuer</w:t>
      </w:r>
      <w:r>
        <w:rPr>
          <w:rFonts w:ascii="Times New Roman" w:cs="Times New Roman" w:eastAsia="Times New Roman" w:hAnsi="Times New Roman"/>
          <w:sz w:val="18"/>
          <w:szCs w:val="18"/>
          <w:color w:val="auto"/>
        </w:rPr>
        <w:t>) if:</w:t>
      </w:r>
    </w:p>
    <w:p>
      <w:pPr>
        <w:spacing w:after="0" w:line="164" w:lineRule="exact"/>
        <w:rPr>
          <w:sz w:val="20"/>
          <w:szCs w:val="20"/>
          <w:color w:val="auto"/>
        </w:rPr>
      </w:pPr>
    </w:p>
    <w:p>
      <w:pPr>
        <w:ind w:left="640" w:right="20" w:hanging="315"/>
        <w:spacing w:after="0" w:line="253"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 or is a non-resident German citizen employed by a legal entity organized under German public law or is a dependent having German citizenship and living in the household of such citizen, if further prerequisites are satisfied; or</w:t>
      </w:r>
    </w:p>
    <w:p>
      <w:pPr>
        <w:spacing w:after="0" w:line="182" w:lineRule="exact"/>
        <w:rPr>
          <w:rFonts w:ascii="Times New Roman" w:cs="Times New Roman" w:eastAsia="Times New Roman" w:hAnsi="Times New Roman"/>
          <w:sz w:val="18"/>
          <w:szCs w:val="18"/>
          <w:color w:val="auto"/>
        </w:rPr>
      </w:pPr>
    </w:p>
    <w:p>
      <w:pPr>
        <w:ind w:left="640" w:right="200" w:hanging="315"/>
        <w:spacing w:after="0" w:line="274"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personal circumstances the shares are held by the decedent or donor as business assets for which a permanent establishment in Germany is maintained or a permanent representative is appointed in Germany; or</w:t>
      </w:r>
    </w:p>
    <w:p>
      <w:pPr>
        <w:spacing w:after="0" w:line="164" w:lineRule="exact"/>
        <w:rPr>
          <w:sz w:val="20"/>
          <w:szCs w:val="20"/>
          <w:color w:val="auto"/>
        </w:rPr>
      </w:pPr>
    </w:p>
    <w:p>
      <w:pPr>
        <w:ind w:left="680" w:right="420" w:hanging="328"/>
        <w:spacing w:after="0" w:line="274"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personal circumstances at least 10% of the shares are held, directly or indirectly by the decedent or donor, himself or together with a related party in terms of Section 1 para. 2 Foreign Tax Act (</w:t>
      </w:r>
      <w:r>
        <w:rPr>
          <w:rFonts w:ascii="Times New Roman" w:cs="Times New Roman" w:eastAsia="Times New Roman" w:hAnsi="Times New Roman"/>
          <w:sz w:val="18"/>
          <w:szCs w:val="18"/>
          <w:i w:val="1"/>
          <w:iCs w:val="1"/>
          <w:color w:val="auto"/>
        </w:rPr>
        <w:t>Außensteuergesetz</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Special regulations apply to qualified German citizens who maintain neither a residence nor their domicile in Germany but in a low tax jurisdiction, and to former German citizens, also resulting in inheritance and gift tax provided that certain conditions are met. The few double tax treaties on inheritance and gift tax which Germany has entered seek to prevent or mitigate a double taxation.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Abolishment of Solidarity Surcharge</w:t>
      </w:r>
    </w:p>
    <w:p>
      <w:pPr>
        <w:spacing w:after="0" w:line="220" w:lineRule="exact"/>
        <w:rPr>
          <w:sz w:val="20"/>
          <w:szCs w:val="20"/>
          <w:color w:val="auto"/>
        </w:rPr>
      </w:pPr>
    </w:p>
    <w:p>
      <w:pPr>
        <w:ind w:firstLine="353"/>
        <w:spacing w:after="0" w:line="253" w:lineRule="auto"/>
        <w:rPr>
          <w:sz w:val="20"/>
          <w:szCs w:val="20"/>
          <w:color w:val="auto"/>
        </w:rPr>
      </w:pPr>
      <w:r>
        <w:rPr>
          <w:rFonts w:ascii="Times New Roman" w:cs="Times New Roman" w:eastAsia="Times New Roman" w:hAnsi="Times New Roman"/>
          <w:sz w:val="18"/>
          <w:szCs w:val="18"/>
          <w:color w:val="auto"/>
        </w:rPr>
        <w:t>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has been partially abolished as of the assessment period 2021 for certain individuals. The solidarity surcharge shall, however, continue to apply for capital investment in general and, thus, on final withholding taxes levied. If, however, the withholding tax is not final or not levied at all, as the respective shares are held as business assets, solidarity surcharge may not be levied or levied at a reduced amount, depending on the circumstances of the individual. In addition, the solidarity surcharge continues to apply to corporations.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Taxes</w:t>
      </w:r>
    </w:p>
    <w:p>
      <w:pPr>
        <w:spacing w:after="0" w:line="220"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8"/>
          <w:szCs w:val="18"/>
          <w:color w:val="auto"/>
        </w:rPr>
        <w:t>No German capital transfer tax (</w:t>
      </w:r>
      <w:r>
        <w:rPr>
          <w:rFonts w:ascii="Times New Roman" w:cs="Times New Roman" w:eastAsia="Times New Roman" w:hAnsi="Times New Roman"/>
          <w:sz w:val="18"/>
          <w:szCs w:val="18"/>
          <w:i w:val="1"/>
          <w:iCs w:val="1"/>
          <w:color w:val="auto"/>
        </w:rPr>
        <w:t>Kapitalverkehrsteuer</w:t>
      </w:r>
      <w:r>
        <w:rPr>
          <w:rFonts w:ascii="Times New Roman" w:cs="Times New Roman" w:eastAsia="Times New Roman" w:hAnsi="Times New Roman"/>
          <w:sz w:val="18"/>
          <w:szCs w:val="18"/>
          <w:color w:val="auto"/>
        </w:rPr>
        <w:t>), value-added tax (</w:t>
      </w:r>
      <w:r>
        <w:rPr>
          <w:rFonts w:ascii="Times New Roman" w:cs="Times New Roman" w:eastAsia="Times New Roman" w:hAnsi="Times New Roman"/>
          <w:sz w:val="18"/>
          <w:szCs w:val="18"/>
          <w:i w:val="1"/>
          <w:iCs w:val="1"/>
          <w:color w:val="auto"/>
        </w:rPr>
        <w:t>Umsatzsteuer</w:t>
      </w:r>
      <w:r>
        <w:rPr>
          <w:rFonts w:ascii="Times New Roman" w:cs="Times New Roman" w:eastAsia="Times New Roman" w:hAnsi="Times New Roman"/>
          <w:sz w:val="18"/>
          <w:szCs w:val="18"/>
          <w:color w:val="auto"/>
        </w:rPr>
        <w:t>), stamp duty (</w:t>
      </w:r>
      <w:r>
        <w:rPr>
          <w:rFonts w:ascii="Times New Roman" w:cs="Times New Roman" w:eastAsia="Times New Roman" w:hAnsi="Times New Roman"/>
          <w:sz w:val="18"/>
          <w:szCs w:val="18"/>
          <w:i w:val="1"/>
          <w:iCs w:val="1"/>
          <w:color w:val="auto"/>
        </w:rPr>
        <w:t>Stempelgebühr</w:t>
      </w:r>
      <w:r>
        <w:rPr>
          <w:rFonts w:ascii="Times New Roman" w:cs="Times New Roman" w:eastAsia="Times New Roman" w:hAnsi="Times New Roman"/>
          <w:sz w:val="18"/>
          <w:szCs w:val="18"/>
          <w:color w:val="auto"/>
        </w:rPr>
        <w:t>) or similar taxes are levied when acquiring, holding or transferring shares in a company. No value-added tax will be levied unless the shareholder validly opts for it. Net wealth tax (</w:t>
      </w:r>
      <w:r>
        <w:rPr>
          <w:rFonts w:ascii="Times New Roman" w:cs="Times New Roman" w:eastAsia="Times New Roman" w:hAnsi="Times New Roman"/>
          <w:sz w:val="18"/>
          <w:szCs w:val="18"/>
          <w:i w:val="1"/>
          <w:iCs w:val="1"/>
          <w:color w:val="auto"/>
        </w:rPr>
        <w:t>Vermögensteuer</w:t>
      </w:r>
      <w:r>
        <w:rPr>
          <w:rFonts w:ascii="Times New Roman" w:cs="Times New Roman" w:eastAsia="Times New Roman" w:hAnsi="Times New Roman"/>
          <w:sz w:val="18"/>
          <w:szCs w:val="18"/>
          <w:color w:val="auto"/>
        </w:rPr>
        <w:t>) is currently not levied in Germany.</w:t>
      </w:r>
    </w:p>
    <w:p>
      <w:pPr>
        <w:spacing w:after="0" w:line="176" w:lineRule="exact"/>
        <w:rPr>
          <w:sz w:val="20"/>
          <w:szCs w:val="20"/>
          <w:color w:val="auto"/>
        </w:rPr>
      </w:pPr>
    </w:p>
    <w:p>
      <w:pPr>
        <w:ind w:right="20" w:firstLine="318"/>
        <w:spacing w:after="0" w:line="275" w:lineRule="auto"/>
        <w:rPr>
          <w:sz w:val="20"/>
          <w:szCs w:val="20"/>
          <w:color w:val="auto"/>
        </w:rPr>
      </w:pPr>
      <w:r>
        <w:rPr>
          <w:rFonts w:ascii="Times New Roman" w:cs="Times New Roman" w:eastAsia="Times New Roman" w:hAnsi="Times New Roman"/>
          <w:sz w:val="17"/>
          <w:szCs w:val="17"/>
          <w:color w:val="auto"/>
        </w:rPr>
        <w:t>On January 22, 2013, the Council of the EU approved the resolution of the ministers of finance from 11 EU member states (including Germany) to introduce a Financial Transaction Tax (“FTT”) within the framework of enhanced cooperation. On February 14, 2013, the European Commission published a proposal for a Council Directive implementing enhanced cooperation in the area of financial transaction tax. The plan focuses on levying a tax of 0.1% (0.01% for derivatives) on the purchase and sale of financial instruments.</w:t>
      </w:r>
    </w:p>
    <w:p>
      <w:pPr>
        <w:spacing w:after="0" w:line="165"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On December 9, 2019, the German Federal Finance Minister announced another proposal for a directive for a financial transaction tax by way of an enhanced cooperation mechanism with 9 other participating EU member states (“New FTT”). Such proposal was revised again in April 2020. In addition, the German Federal Finance Ministry further prepared the implementation of the FTT or the New FTT by the creation of a new department (</w:t>
      </w:r>
      <w:r>
        <w:rPr>
          <w:rFonts w:ascii="Times New Roman" w:cs="Times New Roman" w:eastAsia="Times New Roman" w:hAnsi="Times New Roman"/>
          <w:sz w:val="18"/>
          <w:szCs w:val="18"/>
          <w:i w:val="1"/>
          <w:iCs w:val="1"/>
          <w:color w:val="auto"/>
        </w:rPr>
        <w:t>Referat</w:t>
      </w:r>
      <w:r>
        <w:rPr>
          <w:rFonts w:ascii="Times New Roman" w:cs="Times New Roman" w:eastAsia="Times New Roman" w:hAnsi="Times New Roman"/>
          <w:sz w:val="18"/>
          <w:szCs w:val="18"/>
          <w:color w:val="auto"/>
        </w:rPr>
        <w:t>) within the German Federal Finance Ministry. Such new department is referred to as “</w:t>
      </w:r>
      <w:r>
        <w:rPr>
          <w:rFonts w:ascii="Times New Roman" w:cs="Times New Roman" w:eastAsia="Times New Roman" w:hAnsi="Times New Roman"/>
          <w:sz w:val="18"/>
          <w:szCs w:val="18"/>
          <w:i w:val="1"/>
          <w:iCs w:val="1"/>
          <w:color w:val="auto"/>
        </w:rPr>
        <w:t>Finanztransaktionssteuer</w:t>
      </w:r>
      <w:r>
        <w:rPr>
          <w:rFonts w:ascii="Times New Roman" w:cs="Times New Roman" w:eastAsia="Times New Roman" w:hAnsi="Times New Roman"/>
          <w:sz w:val="18"/>
          <w:szCs w:val="18"/>
          <w:color w:val="auto"/>
        </w:rPr>
        <w:t>” (financial transaction tax).</w:t>
      </w:r>
    </w:p>
    <w:p>
      <w:pPr>
        <w:spacing w:after="0" w:line="182"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In February 2021, the Portuguese Presidency of the Council of the EU proposed an inclusive discussion among all EU member states on tax design issues of the FTT at EU level.</w:t>
      </w:r>
    </w:p>
    <w:p>
      <w:pPr>
        <w:spacing w:after="0" w:line="164" w:lineRule="exact"/>
        <w:rPr>
          <w:sz w:val="20"/>
          <w:szCs w:val="20"/>
          <w:color w:val="auto"/>
        </w:rPr>
      </w:pPr>
    </w:p>
    <w:p>
      <w:pPr>
        <w:jc w:val="both"/>
        <w:ind w:right="440" w:firstLine="318"/>
        <w:spacing w:after="0" w:line="260" w:lineRule="auto"/>
        <w:rPr>
          <w:sz w:val="20"/>
          <w:szCs w:val="20"/>
          <w:color w:val="auto"/>
        </w:rPr>
      </w:pPr>
      <w:r>
        <w:rPr>
          <w:rFonts w:ascii="Times New Roman" w:cs="Times New Roman" w:eastAsia="Times New Roman" w:hAnsi="Times New Roman"/>
          <w:sz w:val="18"/>
          <w:szCs w:val="18"/>
          <w:color w:val="auto"/>
        </w:rPr>
        <w:t>The FTT and the New FTT proposal remain subject to negotiation between the participating EU member states and are subject to political discussion. They may, therefore, be altered prior to the implementation, the timing of which remains unclear. Additional EU member states may decide to participate.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Prospective holders of the shares are advised to seek their own professional advice in relation to FTT.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0"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This section describes United States federal income tax considerations generally applicable to owning ordinary shares. It applies to you only if you acquire your ordinary shares in this offering and you hold your ordinary shares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address all of the tax consequences that apply to U.S. holders that are ineligible for the benefits of the Convention Between the United States of America and Germany (the “Treaty”). In addition, this section does not apply to you if you are a member of a special class of holders subject to special rules, including:</w:t>
      </w:r>
    </w:p>
    <w:p>
      <w:pPr>
        <w:spacing w:after="0" w:line="185" w:lineRule="exact"/>
        <w:rPr>
          <w:sz w:val="20"/>
          <w:szCs w:val="20"/>
          <w:color w:val="auto"/>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broker or dealer in securities,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trader in securities that elects to use a mark-to-market method of accounting for securities holdings,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tax-exempt organization or governmental organization,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tax-qualified retirement plan,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bank, insurance company or other financial institution,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real estate investment trust or regulated investment company,</w:t>
      </w:r>
    </w:p>
    <w:p>
      <w:pPr>
        <w:spacing w:after="0" w:line="217" w:lineRule="exact"/>
        <w:rPr>
          <w:rFonts w:ascii="Times New Roman" w:cs="Times New Roman" w:eastAsia="Times New Roman" w:hAnsi="Times New Roman"/>
          <w:sz w:val="18"/>
          <w:szCs w:val="18"/>
          <w:color w:val="231F20"/>
        </w:rPr>
      </w:pPr>
    </w:p>
    <w:p>
      <w:pPr>
        <w:ind w:left="680" w:right="120" w:hanging="328"/>
        <w:spacing w:after="0" w:line="274" w:lineRule="auto"/>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person that actually or constructively owns 10% or more of the combined voting power of our voting stock or of the total value of our stock,</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person that holds ordinary shares as part of a straddle or a hedging or conversion transaction,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person that purchases or sells ordinary shares as part of a wash sale for tax purposes,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U.S. holder (as defined below) whose functional currency is not the U.S. dollar,</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U.S. expatriate or former citizen or long-term resident of the United States,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corporation that accumulates earnings to avoid U.S. federal income tax,</w:t>
      </w:r>
    </w:p>
    <w:p>
      <w:pPr>
        <w:spacing w:after="0" w:line="217" w:lineRule="exact"/>
        <w:rPr>
          <w:rFonts w:ascii="Times New Roman" w:cs="Times New Roman" w:eastAsia="Times New Roman" w:hAnsi="Times New Roman"/>
          <w:sz w:val="18"/>
          <w:szCs w:val="18"/>
          <w:color w:val="231F20"/>
        </w:rPr>
      </w:pPr>
    </w:p>
    <w:p>
      <w:pPr>
        <w:ind w:left="680" w:right="340" w:hanging="328"/>
        <w:spacing w:after="0" w:line="274" w:lineRule="auto"/>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S corporation, partnership or other entity or arrangement treated as a partnership for U.S. federal income tax purposes (and investors therein), or</w:t>
      </w:r>
    </w:p>
    <w:p>
      <w:pPr>
        <w:spacing w:after="0" w:line="164"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person deemed to sell ordinary shares under the constructive sale provisions of the Internal Revenue Code of 1986.</w:t>
      </w:r>
    </w:p>
    <w:p>
      <w:pPr>
        <w:spacing w:after="0" w:line="218" w:lineRule="exact"/>
        <w:rPr>
          <w:sz w:val="20"/>
          <w:szCs w:val="20"/>
          <w:color w:val="auto"/>
        </w:rPr>
      </w:pPr>
    </w:p>
    <w:p>
      <w:pPr>
        <w:jc w:val="both"/>
        <w:ind w:right="320" w:firstLine="318"/>
        <w:spacing w:after="0" w:line="260" w:lineRule="auto"/>
        <w:rPr>
          <w:sz w:val="20"/>
          <w:szCs w:val="20"/>
          <w:color w:val="auto"/>
        </w:rPr>
      </w:pPr>
      <w:r>
        <w:rPr>
          <w:rFonts w:ascii="Times New Roman" w:cs="Times New Roman" w:eastAsia="Times New Roman" w:hAnsi="Times New Roman"/>
          <w:sz w:val="18"/>
          <w:szCs w:val="18"/>
          <w:color w:val="auto"/>
        </w:rPr>
        <w:t>This section is based on the Internal Revenue Code of 1986, as amended, its legislative history, existing and proposed regulations, published rulings and court decisions, all as currently in effect, as well as on the Treaty. These laws are subject to change, possibly on a retroactive basis.</w:t>
      </w:r>
    </w:p>
    <w:p>
      <w:pPr>
        <w:spacing w:after="0" w:line="176"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If an entity or arrangement that is treated as a partnership for United States federal income tax purposes holds the ordinary shares, the United States federal income tax treatment of a partner will generally depend on the status of the partner and the tax treatment of the partnership. A partner in a partnership holding the ordinary shares should consult its tax advisor with regard to the United States federal income tax treatment of an investment in the ordinary shares.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 are a U.S. holder if you are a beneficial owner of ordinary shares and you are, for United States federal income tax purposes:</w:t>
      </w:r>
    </w:p>
    <w:p>
      <w:pPr>
        <w:spacing w:after="0" w:line="218" w:lineRule="exact"/>
        <w:rPr>
          <w:sz w:val="20"/>
          <w:szCs w:val="20"/>
          <w:color w:val="auto"/>
        </w:rPr>
      </w:pPr>
    </w:p>
    <w:p>
      <w:pPr>
        <w:ind w:left="680" w:hanging="328"/>
        <w:spacing w:after="0"/>
        <w:tabs>
          <w:tab w:leader="none" w:pos="68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citizen or resident of the United States,</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domestic corporation,</w:t>
      </w:r>
    </w:p>
    <w:p>
      <w:pPr>
        <w:spacing w:after="0" w:line="217" w:lineRule="exact"/>
        <w:rPr>
          <w:rFonts w:ascii="Times New Roman" w:cs="Times New Roman" w:eastAsia="Times New Roman" w:hAnsi="Times New Roman"/>
          <w:sz w:val="18"/>
          <w:szCs w:val="18"/>
          <w:color w:val="231F20"/>
        </w:rPr>
      </w:pPr>
    </w:p>
    <w:p>
      <w:pPr>
        <w:ind w:left="680" w:hanging="328"/>
        <w:spacing w:after="0"/>
        <w:tabs>
          <w:tab w:leader="none" w:pos="68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estate whose income is subject to United States federal income tax regardless of its source, or</w:t>
      </w:r>
    </w:p>
    <w:p>
      <w:pPr>
        <w:spacing w:after="0" w:line="217" w:lineRule="exact"/>
        <w:rPr>
          <w:rFonts w:ascii="Times New Roman" w:cs="Times New Roman" w:eastAsia="Times New Roman" w:hAnsi="Times New Roman"/>
          <w:sz w:val="18"/>
          <w:szCs w:val="18"/>
          <w:color w:val="231F20"/>
        </w:rPr>
      </w:pPr>
    </w:p>
    <w:p>
      <w:pPr>
        <w:ind w:left="680" w:right="420" w:hanging="328"/>
        <w:spacing w:after="0" w:line="274" w:lineRule="auto"/>
        <w:tabs>
          <w:tab w:leader="none" w:pos="68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trust if a United States court can exercise primary supervision over the trust’s administration and one or more United States persons are authorized to control all substantial decisions of the trust.</w:t>
      </w:r>
    </w:p>
    <w:p>
      <w:pPr>
        <w:spacing w:after="0" w:line="164" w:lineRule="exact"/>
        <w:rPr>
          <w:sz w:val="20"/>
          <w:szCs w:val="20"/>
          <w:color w:val="auto"/>
        </w:rPr>
      </w:pPr>
    </w:p>
    <w:p>
      <w:pPr>
        <w:ind w:right="420" w:firstLine="353"/>
        <w:spacing w:after="0" w:line="274" w:lineRule="auto"/>
        <w:rPr>
          <w:sz w:val="20"/>
          <w:szCs w:val="20"/>
          <w:color w:val="auto"/>
        </w:rPr>
      </w:pPr>
      <w:r>
        <w:rPr>
          <w:rFonts w:ascii="Times New Roman" w:cs="Times New Roman" w:eastAsia="Times New Roman" w:hAnsi="Times New Roman"/>
          <w:sz w:val="18"/>
          <w:szCs w:val="18"/>
          <w:color w:val="auto"/>
        </w:rPr>
        <w:t>A “non-U.S. holder” is a beneficial owner of ordinary shares that is not a United States person and is not a partnership for United States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113665</wp:posOffset>
            </wp:positionV>
            <wp:extent cx="6263005" cy="3162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63005" cy="316230"/>
                    </a:xfrm>
                    <a:prstGeom prst="rect">
                      <a:avLst/>
                    </a:prstGeom>
                    <a:noFill/>
                  </pic:spPr>
                </pic:pic>
              </a:graphicData>
            </a:graphic>
          </wp:anchor>
        </w:drawing>
      </w:r>
    </w:p>
    <w:p>
      <w:pPr>
        <w:spacing w:after="0" w:line="169" w:lineRule="exact"/>
        <w:rPr>
          <w:sz w:val="20"/>
          <w:szCs w:val="20"/>
          <w:color w:val="auto"/>
        </w:rPr>
      </w:pPr>
    </w:p>
    <w:p>
      <w:pPr>
        <w:ind w:left="140" w:right="720" w:firstLine="191"/>
        <w:spacing w:after="0" w:line="276" w:lineRule="auto"/>
        <w:rPr>
          <w:sz w:val="20"/>
          <w:szCs w:val="20"/>
          <w:color w:val="auto"/>
        </w:rPr>
      </w:pPr>
      <w:r>
        <w:rPr>
          <w:rFonts w:ascii="Times New Roman" w:cs="Times New Roman" w:eastAsia="Times New Roman" w:hAnsi="Times New Roman"/>
          <w:sz w:val="18"/>
          <w:szCs w:val="18"/>
          <w:i w:val="1"/>
          <w:iCs w:val="1"/>
          <w:color w:val="auto"/>
        </w:rPr>
        <w:t>You should consult your own tax advisor regarding the United States federal, state and local tax consequences of owning and disposing of shares and ordinary shares in your particular circumstances.</w:t>
      </w:r>
    </w:p>
    <w:p>
      <w:pPr>
        <w:spacing w:after="0" w:line="200"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8"/>
          <w:szCs w:val="18"/>
          <w:color w:val="auto"/>
        </w:rPr>
        <w:t>Except as described below under “</w:t>
      </w:r>
      <w:r>
        <w:rPr>
          <w:rFonts w:ascii="Times New Roman" w:cs="Times New Roman" w:eastAsia="Times New Roman" w:hAnsi="Times New Roman"/>
          <w:sz w:val="18"/>
          <w:szCs w:val="18"/>
          <w:i w:val="1"/>
          <w:iCs w:val="1"/>
          <w:color w:val="auto"/>
        </w:rPr>
        <w:t>U.S. Holders — PFIC Rules</w:t>
      </w:r>
      <w:r>
        <w:rPr>
          <w:rFonts w:ascii="Times New Roman" w:cs="Times New Roman" w:eastAsia="Times New Roman" w:hAnsi="Times New Roman"/>
          <w:sz w:val="18"/>
          <w:szCs w:val="18"/>
          <w:color w:val="auto"/>
        </w:rPr>
        <w:t>,” this discussion assumes that we are not, and will not become, a PFIC for United States federal income tax purposes.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on Ordinary Shares</w:t>
      </w:r>
    </w:p>
    <w:p>
      <w:pPr>
        <w:spacing w:after="0" w:line="220"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7"/>
          <w:szCs w:val="17"/>
          <w:color w:val="auto"/>
        </w:rPr>
        <w:t>If you are a U.S. holder, the gross amount of any distribution on the ordinary shares that we pay out of our current or accumulated earnings and profits (as determined for United States federal income tax purposes), other than certain pro- rata distributions of our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ordinary shares for more than 60 days during the 121-day period beginning 60 days before the ex-dividend date and other requirements are met. Dividends we pay with respect to the ordinary shares generally will be qualified dividend income provided that, in the year that you receive the dividend, the ordinary shares are readily tradable on an established securities market in the United States. Our ordinary shares are listed on Nasdaq and we therefore expect that dividends on the ordinary shares will be qualified dividend income.</w:t>
      </w:r>
    </w:p>
    <w:p>
      <w:pPr>
        <w:spacing w:after="0" w:line="17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convert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ordinary shares and thereafter as capital gain. However, we do not expect to calculate earnings and profits in accordance with United States federal income tax principles. Accordingly, you should expect to generally treat distributions we make as dividends.</w:t>
      </w:r>
    </w:p>
    <w:p>
      <w:pPr>
        <w:spacing w:after="0" w:line="191"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 xml:space="preserve">Subject to certain limitations, it is possible that German tax withheld in accordance with the Treaty and paid over to Germany will be creditable or deductible against your United States federal income tax liability. However, under recently finalized Treasury regulations, it is possible that such withholding taxes will not be creditable unless you are eligible to claim the benefits of the Treaty and elect to apply the Treaty.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 </w:t>
      </w:r>
      <w:r>
        <w:rPr>
          <w:rFonts w:ascii="Times New Roman" w:cs="Times New Roman" w:eastAsia="Times New Roman" w:hAnsi="Times New Roman"/>
          <w:sz w:val="18"/>
          <w:szCs w:val="18"/>
          <w:i w:val="1"/>
          <w:iCs w:val="1"/>
          <w:color w:val="auto"/>
        </w:rPr>
        <w:t>Material German Tax Considerations — Dividends Tax — Withholding Tax on Dividends</w:t>
      </w:r>
      <w:r>
        <w:rPr>
          <w:rFonts w:ascii="Times New Roman" w:cs="Times New Roman" w:eastAsia="Times New Roman" w:hAnsi="Times New Roman"/>
          <w:sz w:val="18"/>
          <w:szCs w:val="18"/>
          <w:color w:val="auto"/>
        </w:rPr>
        <w:t>,” above, for the procedures for obtaining a tax refund.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Dividends on ordinary shares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Ordinary Shares</w:t>
      </w:r>
    </w:p>
    <w:p>
      <w:pPr>
        <w:spacing w:after="0" w:line="220" w:lineRule="exact"/>
        <w:rPr>
          <w:sz w:val="20"/>
          <w:szCs w:val="20"/>
          <w:color w:val="auto"/>
        </w:rPr>
      </w:pPr>
    </w:p>
    <w:p>
      <w:pPr>
        <w:ind w:right="180" w:firstLine="318"/>
        <w:spacing w:after="0" w:line="275" w:lineRule="auto"/>
        <w:rPr>
          <w:sz w:val="20"/>
          <w:szCs w:val="20"/>
          <w:color w:val="auto"/>
        </w:rPr>
      </w:pPr>
      <w:r>
        <w:rPr>
          <w:rFonts w:ascii="Times New Roman" w:cs="Times New Roman" w:eastAsia="Times New Roman" w:hAnsi="Times New Roman"/>
          <w:sz w:val="17"/>
          <w:szCs w:val="17"/>
          <w:color w:val="auto"/>
        </w:rPr>
        <w:t>If you are a U.S. holder and you sell or otherwise dispose of your ordinary shares, you will recognize capital gain or loss for United States federal income tax purposes equal to the difference between the amount that you realize and your tax basis in your ordinary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Rules</w:t>
      </w:r>
    </w:p>
    <w:p>
      <w:pPr>
        <w:spacing w:after="0" w:line="22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believe that we were not classified as a PFIC for United States federal income tax purposes in our prior taxable year and we do not expect to become a PFIC in the current taxable year or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our ordinary shares. Accordingly, we could become a PFIC in the future if there is a substantial decline in the value of our ordinary shares.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general, if you are a U.S. holder, we will be a PFIC with respect to you if for any taxable year in which you held our ordinary shares:</w:t>
      </w:r>
    </w:p>
    <w:p>
      <w:pPr>
        <w:spacing w:after="0" w:line="229" w:lineRule="exact"/>
        <w:rPr>
          <w:sz w:val="20"/>
          <w:szCs w:val="20"/>
          <w:color w:val="auto"/>
        </w:rPr>
      </w:pPr>
    </w:p>
    <w:p>
      <w:pPr>
        <w:ind w:left="680" w:hanging="328"/>
        <w:spacing w:after="0"/>
        <w:tabs>
          <w:tab w:leader="none" w:pos="680" w:val="left"/>
        </w:tabs>
        <w:numPr>
          <w:ilvl w:val="0"/>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least 75% of our gross income for the taxable year is passive income, or</w:t>
      </w:r>
    </w:p>
    <w:p>
      <w:pPr>
        <w:spacing w:after="0" w:line="217" w:lineRule="exact"/>
        <w:rPr>
          <w:rFonts w:ascii="Times New Roman" w:cs="Times New Roman" w:eastAsia="Times New Roman" w:hAnsi="Times New Roman"/>
          <w:sz w:val="18"/>
          <w:szCs w:val="18"/>
          <w:color w:val="231F20"/>
        </w:rPr>
      </w:pPr>
    </w:p>
    <w:p>
      <w:pPr>
        <w:ind w:left="680" w:right="160" w:hanging="328"/>
        <w:spacing w:after="0" w:line="274" w:lineRule="auto"/>
        <w:tabs>
          <w:tab w:leader="none" w:pos="680" w:val="left"/>
        </w:tabs>
        <w:numPr>
          <w:ilvl w:val="0"/>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least 50% of the value, determined on the basis of a quarterly average, of our assets is attributable to assets that produce or are held for the production of passive income.</w:t>
      </w:r>
    </w:p>
    <w:p>
      <w:pPr>
        <w:spacing w:after="0" w:line="164"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182" w:lineRule="exact"/>
        <w:rPr>
          <w:sz w:val="20"/>
          <w:szCs w:val="20"/>
          <w:color w:val="auto"/>
        </w:rPr>
      </w:pPr>
    </w:p>
    <w:p>
      <w:pPr>
        <w:ind w:right="560" w:firstLine="318"/>
        <w:spacing w:after="0" w:line="274" w:lineRule="auto"/>
        <w:rPr>
          <w:sz w:val="20"/>
          <w:szCs w:val="20"/>
          <w:color w:val="auto"/>
        </w:rPr>
      </w:pPr>
      <w:r>
        <w:rPr>
          <w:rFonts w:ascii="Times New Roman" w:cs="Times New Roman" w:eastAsia="Times New Roman" w:hAnsi="Times New Roman"/>
          <w:sz w:val="18"/>
          <w:szCs w:val="18"/>
          <w:color w:val="auto"/>
        </w:rPr>
        <w:t>If we are treated as a PFIC, and you are a U.S. holder that did not make a mark-to-market election, as described below, you will generally be subject to special rules with respect to:</w:t>
      </w:r>
    </w:p>
    <w:p>
      <w:pPr>
        <w:spacing w:after="0" w:line="164" w:lineRule="exact"/>
        <w:rPr>
          <w:sz w:val="20"/>
          <w:szCs w:val="20"/>
          <w:color w:val="auto"/>
        </w:rPr>
      </w:pPr>
    </w:p>
    <w:p>
      <w:pPr>
        <w:ind w:left="680" w:hanging="328"/>
        <w:spacing w:after="0"/>
        <w:tabs>
          <w:tab w:leader="none" w:pos="680" w:val="left"/>
        </w:tabs>
        <w:numPr>
          <w:ilvl w:val="0"/>
          <w:numId w:val="10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gain you realize on the sale or other disposition of your ordinary shares and</w:t>
      </w:r>
    </w:p>
    <w:p>
      <w:pPr>
        <w:spacing w:after="0" w:line="217" w:lineRule="exact"/>
        <w:rPr>
          <w:rFonts w:ascii="Times New Roman" w:cs="Times New Roman" w:eastAsia="Times New Roman" w:hAnsi="Times New Roman"/>
          <w:sz w:val="18"/>
          <w:szCs w:val="18"/>
          <w:color w:val="231F20"/>
        </w:rPr>
      </w:pPr>
    </w:p>
    <w:p>
      <w:pPr>
        <w:ind w:left="680" w:right="100" w:hanging="328"/>
        <w:spacing w:after="0" w:line="255" w:lineRule="auto"/>
        <w:tabs>
          <w:tab w:leader="none" w:pos="680" w:val="left"/>
        </w:tabs>
        <w:numPr>
          <w:ilvl w:val="0"/>
          <w:numId w:val="10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excess distribution that we make to you (generally, any distributions to you during a single taxable year, other than the taxable year in which your holding period in the ordinary shares begins, that are greater than 125% of the average annual distributions received by you in respect of the ordinary shares during the three preceding taxable years or, if shorter, your holding period for the ordinary shares that preceded the taxable year in which you receive the distribution).</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18" w:lineRule="exact"/>
        <w:rPr>
          <w:sz w:val="20"/>
          <w:szCs w:val="20"/>
          <w:color w:val="auto"/>
        </w:rPr>
      </w:pPr>
    </w:p>
    <w:p>
      <w:pPr>
        <w:ind w:left="680" w:hanging="328"/>
        <w:spacing w:after="0"/>
        <w:tabs>
          <w:tab w:leader="none" w:pos="680" w:val="left"/>
        </w:tabs>
        <w:numPr>
          <w:ilvl w:val="0"/>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gain or excess distribution will be allocated ratably over your holding period for the ordinary shares,</w:t>
      </w:r>
    </w:p>
    <w:p>
      <w:pPr>
        <w:spacing w:after="0" w:line="217" w:lineRule="exact"/>
        <w:rPr>
          <w:rFonts w:ascii="Times New Roman" w:cs="Times New Roman" w:eastAsia="Times New Roman" w:hAnsi="Times New Roman"/>
          <w:sz w:val="18"/>
          <w:szCs w:val="18"/>
          <w:color w:val="231F20"/>
        </w:rPr>
      </w:pPr>
    </w:p>
    <w:p>
      <w:pPr>
        <w:ind w:left="680" w:right="80" w:hanging="328"/>
        <w:spacing w:after="0" w:line="274" w:lineRule="auto"/>
        <w:tabs>
          <w:tab w:leader="none" w:pos="680" w:val="left"/>
        </w:tabs>
        <w:numPr>
          <w:ilvl w:val="0"/>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allocated to the taxable year in which you realized the gain or excess distribution or to prior years before the first year in which we were a PFIC with respect to you will be taxed as ordinary income,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hanging="328"/>
        <w:spacing w:after="0"/>
        <w:tabs>
          <w:tab w:leader="none" w:pos="680" w:val="left"/>
        </w:tabs>
        <w:numPr>
          <w:ilvl w:val="0"/>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allocated to each other prior year will be taxed at the highest tax rate in effect for that year, and</w:t>
      </w:r>
    </w:p>
    <w:p>
      <w:pPr>
        <w:spacing w:after="0" w:line="217" w:lineRule="exact"/>
        <w:rPr>
          <w:rFonts w:ascii="Times New Roman" w:cs="Times New Roman" w:eastAsia="Times New Roman" w:hAnsi="Times New Roman"/>
          <w:sz w:val="18"/>
          <w:szCs w:val="18"/>
          <w:color w:val="231F20"/>
        </w:rPr>
      </w:pPr>
    </w:p>
    <w:p>
      <w:pPr>
        <w:ind w:left="680" w:right="660" w:hanging="328"/>
        <w:spacing w:after="0" w:line="274" w:lineRule="auto"/>
        <w:tabs>
          <w:tab w:leader="none" w:pos="680" w:val="left"/>
        </w:tabs>
        <w:numPr>
          <w:ilvl w:val="0"/>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interest charge generally applicable to underpayments of tax will be imposed in respect of the tax attributable to each such year.</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Special rules apply for calculating the amount of the foreign tax credit with respect to excess distributions by a PFIC.</w:t>
      </w:r>
    </w:p>
    <w:p>
      <w:pPr>
        <w:spacing w:after="0" w:line="21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If we are a PFIC in a taxable year and our ordinary shares are treated as “marketable stock” in such year, you may make a mark-to-market election with respect to your ordinary shares. If you make this election, you will not be subject to the PFIC rules described above. Instead, in general, you will include as ordinary income each year the excess, if any, of the fair market value of your ordinary shares at the end of the taxable year over your adjusted basis in your ordinary shares. You will also be allowed to take an ordinary loss in respect of the excess, if any, of the adjusted basis of your ordinary shares over their fair market value at the end of the taxable year (but only to the extent of the net amount of previously included income as a result of the mark-to-market election). Your basis in the ordinary shares will be adjusted to reflect any such income or loss amounts. Any gain that you recognize on the sale or other disposition of your ordinary shares would be ordinary income and any loss would be an ordinary loss to the extent of the net amount of previously included income as a result of the mark-to-market election and, thereafter, a capital loss.</w:t>
      </w:r>
    </w:p>
    <w:p>
      <w:pPr>
        <w:spacing w:after="0" w:line="190"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Because we do not intend to provide the information necessary for a U.S. holder to comply with the requirements of a “qualified electing fund” election, such election will not be available to you with respect to your ordinary shares.</w:t>
      </w:r>
    </w:p>
    <w:p>
      <w:pPr>
        <w:spacing w:after="0" w:line="164"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Your ordinary shares will generally be treated as stock in a PFIC if we were a PFIC at any time during your holding period in your ordinary shares, even if we are not currently a PFIC.</w:t>
      </w:r>
    </w:p>
    <w:p>
      <w:pPr>
        <w:spacing w:after="0" w:line="16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In addition, notwithstanding any election you make with regard to the ordinary shares,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187"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182"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If you own ordinary shares during any year that we are a PFIC with respect to you, you may be required to file U.S. Internal Revenue Service (“IRS”) Form 8621.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Reporting</w:t>
      </w:r>
    </w:p>
    <w:p>
      <w:pPr>
        <w:spacing w:after="0" w:line="220"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w:t>
      </w:r>
    </w:p>
    <w:p>
      <w:pPr>
        <w:spacing w:after="0" w:line="2" w:lineRule="exact"/>
        <w:rPr>
          <w:sz w:val="20"/>
          <w:szCs w:val="20"/>
          <w:color w:val="auto"/>
        </w:rPr>
      </w:pPr>
    </w:p>
    <w:p>
      <w:pPr>
        <w:ind w:right="380" w:firstLine="7"/>
        <w:spacing w:after="0" w:line="252" w:lineRule="auto"/>
        <w:tabs>
          <w:tab w:leader="none" w:pos="2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and contracts that have non-United States issuers or counterparties, and (iii) interests in foreign entities. U.S. Holders are urged to contact their tax advisors regarding these filing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0"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 xml:space="preserve">If you are a non-U.S. holder, dividends paid to you </w:t>
      </w:r>
      <w:r>
        <w:rPr>
          <w:rFonts w:ascii="Times New Roman" w:cs="Times New Roman" w:eastAsia="Times New Roman" w:hAnsi="Times New Roman"/>
          <w:sz w:val="18"/>
          <w:szCs w:val="18"/>
          <w:color w:val="231F20"/>
        </w:rPr>
        <w:t>in respect of ordinary shares</w:t>
      </w:r>
      <w:r>
        <w:rPr>
          <w:rFonts w:ascii="Times New Roman" w:cs="Times New Roman" w:eastAsia="Times New Roman" w:hAnsi="Times New Roman"/>
          <w:sz w:val="18"/>
          <w:szCs w:val="18"/>
          <w:color w:val="auto"/>
        </w:rPr>
        <w:t xml:space="preserve">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193"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If you are a non-U.S. holder, you will not be subject to United States federal income tax on gain recognized on the sale or other disposition of your ordinary shares unless:</w:t>
      </w:r>
    </w:p>
    <w:p>
      <w:pPr>
        <w:spacing w:after="0" w:line="124" w:lineRule="exact"/>
        <w:rPr>
          <w:sz w:val="20"/>
          <w:szCs w:val="20"/>
          <w:color w:val="auto"/>
        </w:rPr>
      </w:pPr>
    </w:p>
    <w:p>
      <w:pPr>
        <w:ind w:left="680" w:hanging="328"/>
        <w:spacing w:after="0" w:line="260" w:lineRule="auto"/>
        <w:tabs>
          <w:tab w:leader="none" w:pos="68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136" w:lineRule="exact"/>
        <w:rPr>
          <w:rFonts w:ascii="Times New Roman" w:cs="Times New Roman" w:eastAsia="Times New Roman" w:hAnsi="Times New Roman"/>
          <w:sz w:val="18"/>
          <w:szCs w:val="18"/>
          <w:color w:val="231F20"/>
        </w:rPr>
      </w:pPr>
    </w:p>
    <w:p>
      <w:pPr>
        <w:ind w:left="680" w:right="260" w:hanging="328"/>
        <w:spacing w:after="0" w:line="274" w:lineRule="auto"/>
        <w:tabs>
          <w:tab w:leader="none" w:pos="68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you are an individual, you are present in the United States for 183 or more days in the taxable year of the sale and certain other conditions exist.</w:t>
      </w:r>
    </w:p>
    <w:p>
      <w:pPr>
        <w:spacing w:after="0" w:line="138" w:lineRule="exact"/>
        <w:rPr>
          <w:sz w:val="20"/>
          <w:szCs w:val="20"/>
          <w:color w:val="auto"/>
        </w:rPr>
      </w:pPr>
    </w:p>
    <w:p>
      <w:pPr>
        <w:ind w:right="200" w:firstLine="318"/>
        <w:spacing w:after="0" w:line="260" w:lineRule="auto"/>
        <w:rPr>
          <w:sz w:val="20"/>
          <w:szCs w:val="20"/>
          <w:color w:val="auto"/>
        </w:rPr>
      </w:pPr>
      <w:r>
        <w:rPr>
          <w:rFonts w:ascii="Times New Roman" w:cs="Times New Roman" w:eastAsia="Times New Roman" w:hAnsi="Times New Roman"/>
          <w:sz w:val="18"/>
          <w:szCs w:val="18"/>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82"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If you are a noncorporate U.S. holder, information reporting requirements, on IRS Form 1099, generally will apply to dividend payments or other taxable distributions made to you within the United States, and the payment of proceeds to you from the sale of ordinary shares effected at a United States office of a broker.</w:t>
      </w:r>
    </w:p>
    <w:p>
      <w:pPr>
        <w:spacing w:after="0" w:line="150"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13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ordinary shares effected at a United States office of a broker, as long as either (i) </w:t>
      </w:r>
      <w:r>
        <w:rPr>
          <w:rFonts w:ascii="Times New Roman" w:cs="Times New Roman" w:eastAsia="Times New Roman" w:hAnsi="Times New Roman"/>
          <w:sz w:val="18"/>
          <w:szCs w:val="18"/>
          <w:color w:val="231F20"/>
        </w:rPr>
        <w:t>the payor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broker </w:t>
      </w:r>
      <w:r>
        <w:rPr>
          <w:rFonts w:ascii="Times New Roman" w:cs="Times New Roman" w:eastAsia="Times New Roman" w:hAnsi="Times New Roman"/>
          <w:sz w:val="18"/>
          <w:szCs w:val="18"/>
          <w:color w:val="000000"/>
        </w:rPr>
        <w:t>does not have actual knowledge or reason to know that you are a United States person and you have furnished a valid IRS Form W-8</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other documentation upon which the payor or broker may rely to treat the payments as made to a non-United States person, or (ii) you otherwise establish an exemption.</w:t>
      </w:r>
    </w:p>
    <w:p>
      <w:pPr>
        <w:spacing w:after="0" w:line="149"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Payment of the proceeds from the sale of ordinary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w:t>
      </w:r>
      <w:r>
        <w:rPr>
          <w:rFonts w:ascii="Times New Roman" w:cs="Times New Roman" w:eastAsia="Times New Roman" w:hAnsi="Times New Roman"/>
          <w:sz w:val="18"/>
          <w:szCs w:val="18"/>
          <w:color w:val="231F20"/>
        </w:rPr>
        <w:t>connections with the United States.</w:t>
      </w:r>
    </w:p>
    <w:p>
      <w:pPr>
        <w:spacing w:after="0" w:line="15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You generally may obtain a refund of any amounts withheld under the backup withholding rules that exceed your income tax liability by filing a refund claim with the IRS.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220" w:lineRule="exact"/>
        <w:rPr>
          <w:sz w:val="20"/>
          <w:szCs w:val="20"/>
          <w:color w:val="auto"/>
        </w:rPr>
      </w:pPr>
    </w:p>
    <w:p>
      <w:pPr>
        <w:ind w:right="200" w:firstLine="318"/>
        <w:spacing w:after="0" w:line="253" w:lineRule="auto"/>
        <w:rPr>
          <w:sz w:val="20"/>
          <w:szCs w:val="20"/>
          <w:color w:val="auto"/>
        </w:rPr>
      </w:pPr>
      <w:r>
        <w:rPr>
          <w:rFonts w:ascii="Times New Roman" w:cs="Times New Roman" w:eastAsia="Times New Roman" w:hAnsi="Times New Roman"/>
          <w:sz w:val="18"/>
          <w:szCs w:val="18"/>
          <w:color w:val="auto"/>
        </w:rPr>
        <w:t>The ordinary shares offered by this prospectus are being offered by the Selling Shareholder, Joh. Berenberg, Gossler &amp; Co. KG. The shares may be sold or distributed from time to time by the Selling Shareholder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ordinary shares offered by this prospectus could be effected in one or more of the following methods:</w:t>
      </w:r>
    </w:p>
    <w:p>
      <w:pPr>
        <w:spacing w:after="0" w:line="182" w:lineRule="exact"/>
        <w:rPr>
          <w:sz w:val="20"/>
          <w:szCs w:val="20"/>
          <w:color w:val="auto"/>
        </w:rPr>
      </w:pPr>
    </w:p>
    <w:p>
      <w:pPr>
        <w:ind w:left="680" w:hanging="328"/>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ordinary shares;</w:t>
      </w:r>
    </w:p>
    <w:p>
      <w:pPr>
        <w:spacing w:after="0" w:line="217" w:lineRule="exact"/>
        <w:rPr>
          <w:rFonts w:ascii="Times New Roman" w:cs="Times New Roman" w:eastAsia="Times New Roman" w:hAnsi="Times New Roman"/>
          <w:sz w:val="18"/>
          <w:szCs w:val="18"/>
          <w:color w:val="auto"/>
        </w:rPr>
      </w:pPr>
    </w:p>
    <w:p>
      <w:pPr>
        <w:ind w:left="680" w:right="160" w:hanging="328"/>
        <w:spacing w:after="0" w:line="274" w:lineRule="auto"/>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164"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18"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Selling Shareholder is an “underwriter” within the meaning of Section 2(a)(11) of the Securities Act.</w:t>
      </w:r>
    </w:p>
    <w:p>
      <w:pPr>
        <w:spacing w:after="0" w:line="218"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 Selling Shareholder has informed us that it presently anticipates using, but is not required to use, Berenberg, its affiliate and a registered broker-dealer and FINRA member, as a broker to effectuate resales, if any, of our ordinary shares that it may acquire from us pursuant to the Purchase Agreement, and that it may also engage one or more other registered broker-dealers to effectuate resales, if any, of such ordinary shares that it may acquire from us. Such resales will be made at prices and at terms then prevailing or at prices related to the then current market price. Each such registered broker-dealer will be an underwriter within the meaning of Section 2(a)(11) of the Securities Act. The Selling Shareholder has informed us that each such broker-dealer it engages to effectuate resales of our ordinary shares on its behalf, excluding the Selling Shareholder, may receive commissions from the Selling Shareholder.</w:t>
      </w:r>
    </w:p>
    <w:p>
      <w:pPr>
        <w:spacing w:after="0" w:line="189"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the Selling Shareholder and any other shareholder, broker, dealer, underwriter or agent relating to the sale or distribution of our ordinary shares offered by this prospectus.</w:t>
      </w:r>
    </w:p>
    <w:p>
      <w:pPr>
        <w:spacing w:after="0" w:line="164"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our ordinary shares offered by this prospectus may receive compensation in the form of commissions, discounts, or concessions from the purchasers, for whom the broker-dealers may act as agent, of the shares sold by the Selling Shareholder through this prospectus. The compensation paid to any such particular broker-dealer by any such purchasers of our ordinary sold by the Selling Shareholder may be less than or in excess of customary commissions. Neither we nor the Selling Shareholder can presently estimate the amount of compensation that any agent will receive from any purchasers of our ordinary shares sold by the Selling Shareholder.</w:t>
      </w:r>
    </w:p>
    <w:p>
      <w:pPr>
        <w:spacing w:after="0" w:line="18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Shareholder, including with respect to any compensation paid or payable by the Selling Shareholder to any brokers, dealers, underwriters or agents that participate in the distribution of such shares by the Selling Shareholder, and any other related information required to be disclosed under the Securities Act.</w:t>
      </w:r>
    </w:p>
    <w:p>
      <w:pPr>
        <w:spacing w:after="0" w:line="187"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our ordinary shares covered by this prospectus by the Selling Shareholder.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We have also agreed to reimburse the Selling Shareholder for certain out-of-pocket expenses in connection with the transactions contemplated by the Purchase Agreement in an amount not to exceed $50,000. The total underwriting compensation to be received in connection with sales of ordinary shares by the Selling Shareholder to the public, as determined under FINRA Rule 5110, will not exceed 8% of the maximum dollar amount of ordinary shares to be sold to the public.</w:t>
      </w:r>
    </w:p>
    <w:p>
      <w:pPr>
        <w:spacing w:after="0" w:line="18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have agreed to indemnify the Selling Shareholder, the qualified independent underwriter and certain other persons against certain liabilities in connection with the offering of our ordinary shares offered hereby, including liabilities arising under the Securities Act or, if such indemnity is unavailable, to contribute amounts required to be paid in respect of such liabilities. The Selling Shareholder and the qualified independent underwriter have agreed to indemnify us against liabilities under the Securities Act that may arise from certain written information furnished to us by the Selling Shareholder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$600,000.</w:t>
      </w:r>
    </w:p>
    <w:p>
      <w:pPr>
        <w:spacing w:after="0" w:line="218" w:lineRule="exact"/>
        <w:rPr>
          <w:sz w:val="20"/>
          <w:szCs w:val="20"/>
          <w:color w:val="auto"/>
        </w:rPr>
      </w:pPr>
    </w:p>
    <w:p>
      <w:pPr>
        <w:ind w:right="80" w:firstLine="318"/>
        <w:spacing w:after="0" w:line="267" w:lineRule="auto"/>
        <w:rPr>
          <w:sz w:val="20"/>
          <w:szCs w:val="20"/>
          <w:color w:val="auto"/>
        </w:rPr>
      </w:pPr>
      <w:r>
        <w:rPr>
          <w:rFonts w:ascii="Times New Roman" w:cs="Times New Roman" w:eastAsia="Times New Roman" w:hAnsi="Times New Roman"/>
          <w:sz w:val="17"/>
          <w:szCs w:val="17"/>
          <w:color w:val="auto"/>
        </w:rPr>
        <w:t>The Selling Shareholder has represented to us that at no time prior to the date of the Purchase Agreement has the Selling Shareholder, its officers, or any entity managed or controlled by the Selling Shareholder, engaged in or effected, in any manner whatsoever, directly or indirectly, for its own account or for the account of any of its affiliates, any short sale (as such term is defined in Rule 200 of Regulation SHO of the Exchange Act) of our ordinary shares or any hedging transaction, which establishes a net short position with respect to our ordinary shares in violation of applicable law. The Selling Shareholder has agreed that during the term of the Purchase Agreement, none of the Selling Shareholder, its officers, or any entity managed or controlled by the Selling Shareholder, will enter into or effect, directly or indirectly, any of the foregoing transactions for its own account or for the account of any other such person or entity.</w:t>
      </w:r>
    </w:p>
    <w:p>
      <w:pPr>
        <w:spacing w:after="0" w:line="17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have advised the Selling Shareholder that it is required to comply with Regulation M promulgated under the Exchange Act.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subject to exceptions.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offering will terminate on the date that all ordinary shares offered by this prospectus have been sold by the Selling Shareholder.</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ordinary shares are currently listed on The Nasdaq Global Market under the symbol “SEV”.</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0"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The Selling Shareholder is an affiliate of Berenberg, a FINRA member. Berenberg is expected to act as an executing broker for the sale of the ordinary shares pursuant to the Committed Equity Financing. The receipt by the Selling Shareholder of all the proceeds from sales of ordinary shares to the public results in a “conflict of interest” under FINRA Rule 5121. Accordingly such sales will be conducted in compliance with FINRA Rule 5121. To the extent that the ordinary shares do not have a “bona fide public market,” as defined in FINRA Rule 5121, a qualified independent underwriter will participate in the preparation of, and exercise the usual standards of “due diligence” with respect to, the registration statement. Craig-Hallum Capital Group LLC has agreed to act as qualified independent underwriter for this offering and will receive $50,000 for doing so. Pursuant to FINRA Rule 5121, Berenberg will not confirm sales of the ordinary shares to any account over which it exercises discretionary authority without the prior written approval of the customer.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220" w:lineRule="exact"/>
        <w:rPr>
          <w:sz w:val="20"/>
          <w:szCs w:val="20"/>
          <w:color w:val="auto"/>
        </w:rPr>
      </w:pPr>
    </w:p>
    <w:p>
      <w:pPr>
        <w:jc w:val="both"/>
        <w:ind w:right="200" w:firstLine="318"/>
        <w:spacing w:after="0" w:line="260"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the offer and sale of our ordinary shares. With the exception of the SEC registration fee and the FINRA filing fee, all of these amounts are estimates.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6"/>
        </w:trPr>
        <w:tc>
          <w:tcPr>
            <w:tcW w:w="87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U.S. Securities and Exchange Commission registration fee</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5,045</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Printing fee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45,000</w:t>
            </w:r>
          </w:p>
        </w:tc>
        <w:tc>
          <w:tcPr>
            <w:tcW w:w="60" w:type="dxa"/>
            <w:vAlign w:val="bottom"/>
          </w:tcPr>
          <w:p>
            <w:pPr>
              <w:spacing w:after="0"/>
              <w:rPr>
                <w:sz w:val="18"/>
                <w:szCs w:val="18"/>
                <w:color w:val="auto"/>
              </w:rPr>
            </w:pPr>
          </w:p>
        </w:tc>
      </w:tr>
      <w:tr>
        <w:trPr>
          <w:trHeight w:val="212"/>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8,585</w:t>
            </w:r>
          </w:p>
        </w:tc>
        <w:tc>
          <w:tcPr>
            <w:tcW w:w="60" w:type="dxa"/>
            <w:vAlign w:val="bottom"/>
            <w:shd w:val="clear" w:color="auto" w:fill="CCEEFF"/>
          </w:tcPr>
          <w:p>
            <w:pPr>
              <w:spacing w:after="0"/>
              <w:rPr>
                <w:sz w:val="18"/>
                <w:szCs w:val="18"/>
                <w:color w:val="auto"/>
              </w:rPr>
            </w:pPr>
          </w:p>
        </w:tc>
      </w:tr>
      <w:tr>
        <w:trPr>
          <w:trHeight w:val="212"/>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180,000</w:t>
            </w:r>
          </w:p>
        </w:tc>
        <w:tc>
          <w:tcPr>
            <w:tcW w:w="60" w:type="dxa"/>
            <w:vAlign w:val="bottom"/>
          </w:tcPr>
          <w:p>
            <w:pPr>
              <w:spacing w:after="0"/>
              <w:rPr>
                <w:sz w:val="18"/>
                <w:szCs w:val="18"/>
                <w:color w:val="auto"/>
              </w:rPr>
            </w:pPr>
          </w:p>
        </w:tc>
      </w:tr>
      <w:tr>
        <w:trPr>
          <w:trHeight w:val="212"/>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250,000</w:t>
            </w:r>
          </w:p>
        </w:tc>
        <w:tc>
          <w:tcPr>
            <w:tcW w:w="60" w:type="dxa"/>
            <w:vAlign w:val="bottom"/>
            <w:shd w:val="clear" w:color="auto" w:fill="CCEEFF"/>
          </w:tcPr>
          <w:p>
            <w:pPr>
              <w:spacing w:after="0"/>
              <w:rPr>
                <w:sz w:val="18"/>
                <w:szCs w:val="18"/>
                <w:color w:val="auto"/>
              </w:rPr>
            </w:pPr>
          </w:p>
        </w:tc>
      </w:tr>
      <w:tr>
        <w:trPr>
          <w:trHeight w:val="212"/>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111,370</w:t>
            </w:r>
          </w:p>
        </w:tc>
        <w:tc>
          <w:tcPr>
            <w:tcW w:w="60" w:type="dxa"/>
            <w:vAlign w:val="bottom"/>
          </w:tcPr>
          <w:p>
            <w:pPr>
              <w:spacing w:after="0"/>
              <w:rPr>
                <w:sz w:val="18"/>
                <w:szCs w:val="18"/>
                <w:color w:val="auto"/>
              </w:rPr>
            </w:pPr>
          </w:p>
        </w:tc>
      </w:tr>
      <w:tr>
        <w:trPr>
          <w:trHeight w:val="212"/>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Discounts, concessions, commissions and similar selling expenses attributable to the sale of ordinary shares covered by this prospectus will be borne by the Selling Shareholder. We will pay all expenses (other than discounts, concessions, commissions and similar selling expenses) relating to the registration of the shares with the SEC, as estimated in the table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0"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NautaDutilh N.V. has advised us on certain legal matters as to Dutch law including the issuance of ordinary shares offered by this prospectus. We are also being represented as to certain matters of U.S. federal law and New York state law by Sullivan &amp; Cromwell LLP.</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980" w:top="121" w:right="11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financial statements as of December 31, 2021 and 2020 and for each of the three years in the period ended December 31, 2021 included in this Prospectus have been so included in reliance on the report (which contains an explanatory paragraph relating to the Company’s ability to continue as a going concern as described in Note 4.13.1 to the financial statements) of PricewaterhouseCoopers GmbH Wirtschaftsprüfungsgesellschaft, an independent registered public accounting firm, given on the authority of said firm as experts in auditing and accounting. PricewaterhouseCoopers GmbH Wirtschaftsprüfungsgesellschaft is a member of the Chamber of Public Accountants (</w:t>
      </w:r>
      <w:r>
        <w:rPr>
          <w:rFonts w:ascii="Times New Roman" w:cs="Times New Roman" w:eastAsia="Times New Roman" w:hAnsi="Times New Roman"/>
          <w:sz w:val="18"/>
          <w:szCs w:val="18"/>
          <w:i w:val="1"/>
          <w:iCs w:val="1"/>
          <w:color w:val="auto"/>
        </w:rPr>
        <w:t>Wirtschaftsprüferkammer</w:t>
      </w:r>
      <w:r>
        <w:rPr>
          <w:rFonts w:ascii="Times New Roman" w:cs="Times New Roman" w:eastAsia="Times New Roman" w:hAnsi="Times New Roman"/>
          <w:sz w:val="18"/>
          <w:szCs w:val="18"/>
          <w:color w:val="auto"/>
        </w:rPr>
        <w:t>), Berlin, Germany.</w:t>
      </w:r>
    </w:p>
    <w:p>
      <w:pPr>
        <w:spacing w:after="0" w:line="187"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current address of PricewaterhouseCoopers GmbH Wirtschaftsprüfungsgesellschaft, is Bernhard-Wicki-Straße 8, 80636 Munich,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21" w:right="11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180" w:lineRule="exact"/>
        <w:rPr>
          <w:sz w:val="20"/>
          <w:szCs w:val="20"/>
          <w:color w:val="auto"/>
        </w:rPr>
      </w:pPr>
    </w:p>
    <w:p>
      <w:pPr>
        <w:ind w:right="160" w:firstLine="356"/>
        <w:spacing w:after="0" w:line="253" w:lineRule="auto"/>
        <w:rPr>
          <w:sz w:val="20"/>
          <w:szCs w:val="20"/>
          <w:color w:val="auto"/>
        </w:rPr>
      </w:pPr>
      <w:r>
        <w:rPr>
          <w:rFonts w:ascii="Times New Roman" w:cs="Times New Roman" w:eastAsia="Times New Roman" w:hAnsi="Times New Roman"/>
          <w:sz w:val="18"/>
          <w:szCs w:val="18"/>
          <w:color w:val="auto"/>
        </w:rPr>
        <w:t>We are organized and existing under the laws of The Netherlands, and, as such, under Dutch private international law rules the rights of our shareholders and the civil liability of our management board members, supervisory board members and executive officers are governed in certain respects by the laws of The Netherlands. The ability of our shareholders in certain countries other than The Netherlands to bring an action against us, our management board members, supervisory board members and executive officers may be limited under applicable law. In addition, substantially all of our assets are located outside the United States.</w:t>
      </w:r>
    </w:p>
    <w:p>
      <w:pPr>
        <w:spacing w:after="0" w:line="156" w:lineRule="exact"/>
        <w:rPr>
          <w:sz w:val="20"/>
          <w:szCs w:val="20"/>
          <w:color w:val="auto"/>
        </w:rPr>
      </w:pPr>
    </w:p>
    <w:p>
      <w:pPr>
        <w:ind w:right="180" w:firstLine="356"/>
        <w:spacing w:after="0" w:line="251" w:lineRule="auto"/>
        <w:rPr>
          <w:sz w:val="20"/>
          <w:szCs w:val="20"/>
          <w:color w:val="auto"/>
        </w:rPr>
      </w:pPr>
      <w:r>
        <w:rPr>
          <w:rFonts w:ascii="Times New Roman" w:cs="Times New Roman" w:eastAsia="Times New Roman" w:hAnsi="Times New Roman"/>
          <w:sz w:val="18"/>
          <w:szCs w:val="18"/>
          <w:color w:val="auto"/>
        </w:rPr>
        <w:t>As a result, it may not be possible for shareholders to effect service of process within the United States upon us or our management board members, supervisory board members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management board members, supervisory board members and executive officers in an original action based solely upon the federal securities laws of the United States brought in a court of competent jurisdiction in The Netherlands.</w:t>
      </w:r>
    </w:p>
    <w:p>
      <w:pPr>
        <w:spacing w:after="0" w:line="147" w:lineRule="exact"/>
        <w:rPr>
          <w:sz w:val="20"/>
          <w:szCs w:val="20"/>
          <w:color w:val="auto"/>
        </w:rPr>
      </w:pPr>
    </w:p>
    <w:p>
      <w:pPr>
        <w:ind w:right="20" w:firstLine="356"/>
        <w:spacing w:after="0" w:line="248" w:lineRule="auto"/>
        <w:rPr>
          <w:sz w:val="20"/>
          <w:szCs w:val="20"/>
          <w:color w:val="auto"/>
        </w:rPr>
      </w:pPr>
      <w:r>
        <w:rPr>
          <w:rFonts w:ascii="Times New Roman" w:cs="Times New Roman" w:eastAsia="Times New Roman" w:hAnsi="Times New Roman"/>
          <w:sz w:val="18"/>
          <w:szCs w:val="18"/>
          <w:color w:val="auto"/>
        </w:rPr>
        <w:t>As of the date of this prospectus, the United States and The Netherlands do not have a treaty providing for the reciprocal recognition and enforcement of judgments, other than arbitration awards, in civil and commercial matters. With respect to choice of court agreements in civil or commercial matters, it is noted that the Hague Convention on Choice of Court Agreements entered into force for The Netherlands, but has not entered into force for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a foreign judgment if (i) the jurisdiction of the foreign court was based on a ground of jurisdiction that is generally acceptable according to international standards, (ii) the judgment by the foreign court was rendered in legal proceedings that comply with the Dutch standards of proper administration of justice including sufficient safeguards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binding effect of such foreign judgment is not contrary to Dutch public order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and (iv) the judgment by the foreign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foreign judgement is given binding effect, a claim based thereon may, however, still be rejected if the foreign judgment is not or no longer formally enforceable.</w:t>
      </w:r>
    </w:p>
    <w:p>
      <w:pPr>
        <w:spacing w:after="0" w:line="148" w:lineRule="exact"/>
        <w:rPr>
          <w:sz w:val="20"/>
          <w:szCs w:val="20"/>
          <w:color w:val="auto"/>
        </w:rPr>
      </w:pPr>
    </w:p>
    <w:p>
      <w:pPr>
        <w:jc w:val="both"/>
        <w:ind w:right="80" w:firstLine="356"/>
        <w:spacing w:after="0" w:line="255" w:lineRule="auto"/>
        <w:rPr>
          <w:sz w:val="20"/>
          <w:szCs w:val="20"/>
          <w:color w:val="auto"/>
        </w:rPr>
      </w:pPr>
      <w:r>
        <w:rPr>
          <w:rFonts w:ascii="Times New Roman" w:cs="Times New Roman" w:eastAsia="Times New Roman" w:hAnsi="Times New Roman"/>
          <w:sz w:val="18"/>
          <w:szCs w:val="18"/>
          <w:color w:val="auto"/>
        </w:rPr>
        <w:t>Based on the lack of a treaty as described above, U.S. investors may not be able to enforce against us or our management board members, supervisory board members or certain experts named herein who are residents of The Netherlands or countries other than the United States any judgments obtained in U.S. courts in civil and commercial matters, including judgments under the U.S. federal securities laws.</w:t>
      </w:r>
    </w:p>
    <w:p>
      <w:pPr>
        <w:spacing w:after="0" w:line="155" w:lineRule="exact"/>
        <w:rPr>
          <w:sz w:val="20"/>
          <w:szCs w:val="20"/>
          <w:color w:val="auto"/>
        </w:rPr>
      </w:pPr>
    </w:p>
    <w:p>
      <w:pPr>
        <w:ind w:firstLine="356"/>
        <w:spacing w:after="0" w:line="250" w:lineRule="auto"/>
        <w:rPr>
          <w:sz w:val="20"/>
          <w:szCs w:val="20"/>
          <w:color w:val="auto"/>
        </w:rPr>
      </w:pPr>
      <w:r>
        <w:rPr>
          <w:rFonts w:ascii="Times New Roman" w:cs="Times New Roman" w:eastAsia="Times New Roman" w:hAnsi="Times New Roman"/>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49" w:lineRule="exact"/>
        <w:rPr>
          <w:sz w:val="20"/>
          <w:szCs w:val="20"/>
          <w:color w:val="auto"/>
        </w:rPr>
      </w:pPr>
    </w:p>
    <w:p>
      <w:pPr>
        <w:ind w:right="20" w:firstLine="356"/>
        <w:spacing w:after="0" w:line="249" w:lineRule="auto"/>
        <w:rPr>
          <w:sz w:val="20"/>
          <w:szCs w:val="20"/>
          <w:color w:val="auto"/>
        </w:rPr>
      </w:pPr>
      <w:r>
        <w:rPr>
          <w:rFonts w:ascii="Times New Roman" w:cs="Times New Roman" w:eastAsia="Times New Roman" w:hAnsi="Times New Roman"/>
          <w:sz w:val="18"/>
          <w:szCs w:val="18"/>
          <w:color w:val="auto"/>
        </w:rPr>
        <w:t>In addition, actions brought in a German court against us, our management board and supervisory board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and supervisory board and the experts named in this prospectus.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0"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7"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reporting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82" w:lineRule="exact"/>
        <w:rPr>
          <w:sz w:val="20"/>
          <w:szCs w:val="20"/>
          <w:color w:val="auto"/>
        </w:rPr>
      </w:pPr>
    </w:p>
    <w:p>
      <w:pPr>
        <w:ind w:right="140" w:firstLine="318"/>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 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82" w:lineRule="exact"/>
        <w:rPr>
          <w:sz w:val="20"/>
          <w:szCs w:val="20"/>
          <w:color w:val="auto"/>
        </w:rPr>
      </w:pPr>
    </w:p>
    <w:p>
      <w:pPr>
        <w:ind w:right="1380" w:firstLine="318"/>
        <w:spacing w:after="0" w:line="274" w:lineRule="auto"/>
        <w:rPr>
          <w:sz w:val="20"/>
          <w:szCs w:val="20"/>
          <w:color w:val="auto"/>
        </w:rPr>
      </w:pPr>
      <w:r>
        <w:rPr>
          <w:rFonts w:ascii="Times New Roman" w:cs="Times New Roman" w:eastAsia="Times New Roman" w:hAnsi="Times New Roman"/>
          <w:sz w:val="18"/>
          <w:szCs w:val="18"/>
          <w:color w:val="auto"/>
        </w:rPr>
        <w:t>Our SEC filings, including the registration statement on Form F-1, are also available to you on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9120" w:type="dxa"/>
            <w:vAlign w:val="bottom"/>
            <w:tcBorders>
              <w:top w:val="single" w:sz="8" w:color="CCEEFF"/>
            </w:tcBorders>
            <w:gridSpan w:val="12"/>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96"/>
              </w:rPr>
              <w:t>Interim Condensed Consolidated Financial Statements as of June 30, 2022 and for the six months ended June 30, 2022 and</w:t>
            </w: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9120" w:type="dxa"/>
            <w:vAlign w:val="bottom"/>
            <w:gridSpan w:val="12"/>
          </w:tcPr>
          <w:p>
            <w:pPr>
              <w:spacing w:after="0" w:line="172" w:lineRule="exact"/>
              <w:rPr>
                <w:sz w:val="20"/>
                <w:szCs w:val="20"/>
                <w:color w:val="auto"/>
              </w:rPr>
            </w:pPr>
            <w:r>
              <w:rPr>
                <w:rFonts w:ascii="Times New Roman" w:cs="Times New Roman" w:eastAsia="Times New Roman" w:hAnsi="Times New Roman"/>
                <w:sz w:val="18"/>
                <w:szCs w:val="18"/>
                <w:color w:val="0000EE"/>
              </w:rPr>
              <w:t>Interim Condensed Consolidated Statements of Income (Loss) and Statements of Comprehensive Income (Loss)</w:t>
            </w: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tcPr>
          <w:p>
            <w:pPr>
              <w:spacing w:after="0"/>
              <w:rPr>
                <w:sz w:val="2"/>
                <w:szCs w:val="2"/>
                <w:color w:val="auto"/>
              </w:rPr>
            </w:pPr>
          </w:p>
        </w:tc>
        <w:tc>
          <w:tcPr>
            <w:tcW w:w="20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176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620" w:type="dxa"/>
            <w:vAlign w:val="bottom"/>
            <w:tcBorders>
              <w:bottom w:val="single" w:sz="8" w:color="0000EE"/>
            </w:tcBorders>
            <w:gridSpan w:val="5"/>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Interim Condensed Consolidated Balance Sheets</w:t>
            </w:r>
          </w:p>
        </w:tc>
        <w:tc>
          <w:tcPr>
            <w:tcW w:w="5500" w:type="dxa"/>
            <w:vAlign w:val="bottom"/>
            <w:tcBorders>
              <w:bottom w:val="single" w:sz="8" w:color="CCEEFF"/>
            </w:tcBorders>
            <w:gridSpan w:val="7"/>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120" w:type="dxa"/>
            <w:vAlign w:val="bottom"/>
            <w:gridSpan w:val="12"/>
          </w:tcPr>
          <w:p>
            <w:pPr>
              <w:spacing w:after="0" w:line="172" w:lineRule="exact"/>
              <w:rPr>
                <w:sz w:val="20"/>
                <w:szCs w:val="20"/>
                <w:color w:val="auto"/>
              </w:rPr>
            </w:pPr>
            <w:r>
              <w:rPr>
                <w:rFonts w:ascii="Times New Roman" w:cs="Times New Roman" w:eastAsia="Times New Roman" w:hAnsi="Times New Roman"/>
                <w:sz w:val="18"/>
                <w:szCs w:val="18"/>
                <w:color w:val="0000EE"/>
              </w:rPr>
              <w:t>Interim Condensed Consolidated Statements of Changes in Equity</w:t>
            </w: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tcPr>
          <w:p>
            <w:pPr>
              <w:spacing w:after="0"/>
              <w:rPr>
                <w:sz w:val="2"/>
                <w:szCs w:val="2"/>
                <w:color w:val="auto"/>
              </w:rPr>
            </w:pPr>
          </w:p>
        </w:tc>
        <w:tc>
          <w:tcPr>
            <w:tcW w:w="20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20" w:type="dxa"/>
            <w:vAlign w:val="bottom"/>
            <w:tcBorders>
              <w:bottom w:val="single" w:sz="8" w:color="0000EE"/>
            </w:tcBorders>
            <w:gridSpan w:val="7"/>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Interim Condensed Consolidated Statements of Cash Flows</w:t>
            </w:r>
          </w:p>
        </w:tc>
        <w:tc>
          <w:tcPr>
            <w:tcW w:w="470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120" w:type="dxa"/>
            <w:vAlign w:val="bottom"/>
            <w:gridSpan w:val="12"/>
          </w:tcPr>
          <w:p>
            <w:pPr>
              <w:spacing w:after="0" w:line="172" w:lineRule="exact"/>
              <w:rPr>
                <w:sz w:val="20"/>
                <w:szCs w:val="20"/>
                <w:color w:val="auto"/>
              </w:rPr>
            </w:pPr>
            <w:r>
              <w:rPr>
                <w:rFonts w:ascii="Times New Roman" w:cs="Times New Roman" w:eastAsia="Times New Roman" w:hAnsi="Times New Roman"/>
                <w:sz w:val="18"/>
                <w:szCs w:val="18"/>
                <w:color w:val="0000EE"/>
              </w:rPr>
              <w:t>Notes to the Interim Condensed Consolidated Financial Statements</w:t>
            </w: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9120" w:type="dxa"/>
            <w:vAlign w:val="bottom"/>
            <w:tcBorders>
              <w:top w:val="single" w:sz="8" w:color="CCEEFF"/>
            </w:tcBorders>
            <w:gridSpan w:val="12"/>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2021 and 2020 and for each of the three years in the period</w:t>
            </w: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910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ended December 31, 2021</w:t>
            </w:r>
          </w:p>
        </w:tc>
        <w:tc>
          <w:tcPr>
            <w:tcW w:w="8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tcBorders>
              <w:bottom w:val="single" w:sz="8" w:color="0000EE"/>
            </w:tcBorders>
            <w:gridSpan w:val="5"/>
          </w:tcPr>
          <w:p>
            <w:pPr>
              <w:spacing w:after="0" w:line="172" w:lineRule="exact"/>
              <w:rPr>
                <w:sz w:val="20"/>
                <w:szCs w:val="20"/>
                <w:color w:val="auto"/>
              </w:rPr>
            </w:pPr>
            <w:r>
              <w:rPr>
                <w:rFonts w:ascii="Times New Roman" w:cs="Times New Roman" w:eastAsia="Times New Roman" w:hAnsi="Times New Roman"/>
                <w:sz w:val="18"/>
                <w:szCs w:val="18"/>
                <w:color w:val="0000EE"/>
                <w:w w:val="97"/>
              </w:rPr>
              <w:t>Report of Independent Registered Public Accounting Firm</w:t>
            </w:r>
          </w:p>
        </w:tc>
        <w:tc>
          <w:tcPr>
            <w:tcW w:w="4960" w:type="dxa"/>
            <w:vAlign w:val="bottom"/>
            <w:gridSpan w:val="6"/>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F-19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100" w:type="dxa"/>
            <w:vAlign w:val="bottom"/>
            <w:gridSpan w:val="11"/>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Consolidated Statements of Income (Loss) and Statements of Comprehensive Income (Loss)</w:t>
            </w:r>
          </w:p>
        </w:tc>
        <w:tc>
          <w:tcPr>
            <w:tcW w:w="8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F-20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6540" w:type="dxa"/>
            <w:vAlign w:val="bottom"/>
            <w:tcBorders>
              <w:top w:val="single" w:sz="8" w:color="0000EE"/>
            </w:tcBorders>
            <w:gridSpan w:val="9"/>
          </w:tcPr>
          <w:p>
            <w:pPr>
              <w:spacing w:after="0" w:line="172"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560" w:type="dxa"/>
            <w:vAlign w:val="bottom"/>
            <w:tcBorders>
              <w:top w:val="single" w:sz="8" w:color="CCEEFF"/>
            </w:tcBorders>
            <w:gridSpan w:val="2"/>
          </w:tcPr>
          <w:p>
            <w:pPr>
              <w:spacing w:after="0"/>
              <w:rPr>
                <w:sz w:val="14"/>
                <w:szCs w:val="14"/>
                <w:color w:val="auto"/>
              </w:rPr>
            </w:pPr>
          </w:p>
        </w:tc>
        <w:tc>
          <w:tcPr>
            <w:tcW w:w="80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F-21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100" w:type="dxa"/>
            <w:vAlign w:val="bottom"/>
            <w:gridSpan w:val="11"/>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8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F-22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2820" w:type="dxa"/>
            <w:vAlign w:val="bottom"/>
            <w:tcBorders>
              <w:top w:val="single" w:sz="8" w:color="0000EE"/>
              <w:bottom w:val="single" w:sz="8" w:color="0000EE"/>
            </w:tcBorders>
            <w:gridSpan w:val="2"/>
          </w:tcPr>
          <w:p>
            <w:pPr>
              <w:spacing w:after="0" w:line="172" w:lineRule="exact"/>
              <w:rPr>
                <w:sz w:val="20"/>
                <w:szCs w:val="20"/>
                <w:color w:val="auto"/>
              </w:rPr>
            </w:pPr>
            <w:r>
              <w:rPr>
                <w:rFonts w:ascii="Times New Roman" w:cs="Times New Roman" w:eastAsia="Times New Roman" w:hAnsi="Times New Roman"/>
                <w:sz w:val="18"/>
                <w:szCs w:val="18"/>
                <w:color w:val="0000EE"/>
                <w:w w:val="97"/>
              </w:rPr>
              <w:t>Consolidated Statements of Cash Flows</w:t>
            </w:r>
          </w:p>
        </w:tc>
        <w:tc>
          <w:tcPr>
            <w:tcW w:w="520" w:type="dxa"/>
            <w:vAlign w:val="bottom"/>
            <w:tcBorders>
              <w:top w:val="single" w:sz="8" w:color="0000EE"/>
            </w:tcBorders>
          </w:tcPr>
          <w:p>
            <w:pPr>
              <w:spacing w:after="0"/>
              <w:rPr>
                <w:sz w:val="14"/>
                <w:szCs w:val="14"/>
                <w:color w:val="auto"/>
              </w:rPr>
            </w:pPr>
          </w:p>
        </w:tc>
        <w:tc>
          <w:tcPr>
            <w:tcW w:w="5760" w:type="dxa"/>
            <w:vAlign w:val="bottom"/>
            <w:tcBorders>
              <w:top w:val="single" w:sz="8" w:color="CCEEFF"/>
            </w:tcBorders>
            <w:gridSpan w:val="8"/>
          </w:tcPr>
          <w:p>
            <w:pPr>
              <w:spacing w:after="0"/>
              <w:rPr>
                <w:sz w:val="14"/>
                <w:szCs w:val="14"/>
                <w:color w:val="auto"/>
              </w:rPr>
            </w:pPr>
          </w:p>
        </w:tc>
        <w:tc>
          <w:tcPr>
            <w:tcW w:w="800" w:type="dxa"/>
            <w:vAlign w:val="bottom"/>
            <w:tcBorders>
              <w:top w:val="single" w:sz="8" w:color="CCEEFF"/>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9100" w:type="dxa"/>
            <w:vAlign w:val="bottom"/>
            <w:gridSpan w:val="11"/>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8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F-24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204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INCOME (LOSS)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5"/>
        </w:trPr>
        <w:tc>
          <w:tcPr>
            <w:tcW w:w="446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1.4.-30.6.</w:t>
            </w: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154"/>
              <w:spacing w:after="0" w:line="114" w:lineRule="exact"/>
              <w:rPr>
                <w:sz w:val="20"/>
                <w:szCs w:val="20"/>
                <w:color w:val="auto"/>
              </w:rPr>
            </w:pPr>
            <w:r>
              <w:rPr>
                <w:rFonts w:ascii="Times New Roman" w:cs="Times New Roman" w:eastAsia="Times New Roman" w:hAnsi="Times New Roman"/>
                <w:sz w:val="13"/>
                <w:szCs w:val="13"/>
                <w:b w:val="1"/>
                <w:bCs w:val="1"/>
                <w:color w:val="auto"/>
              </w:rPr>
              <w:t>1.4.-30.6.</w:t>
            </w:r>
          </w:p>
        </w:tc>
        <w:tc>
          <w:tcPr>
            <w:tcW w:w="180" w:type="dxa"/>
            <w:vAlign w:val="bottom"/>
          </w:tcPr>
          <w:p>
            <w:pPr>
              <w:spacing w:after="0"/>
              <w:rPr>
                <w:sz w:val="9"/>
                <w:szCs w:val="9"/>
                <w:color w:val="auto"/>
              </w:rPr>
            </w:pPr>
          </w:p>
        </w:tc>
        <w:tc>
          <w:tcPr>
            <w:tcW w:w="102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1.1.-30.6.</w:t>
            </w: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1.1.-30.6.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34"/>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Gross loss</w:t>
            </w: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Cost of research and development</w:t>
            </w:r>
          </w:p>
        </w:tc>
        <w:tc>
          <w:tcPr>
            <w:tcW w:w="70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6.3</w:t>
            </w:r>
          </w:p>
        </w:tc>
        <w:tc>
          <w:tcPr>
            <w:tcW w:w="16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(30,402)</w:t>
            </w:r>
          </w:p>
        </w:tc>
        <w:tc>
          <w:tcPr>
            <w:tcW w:w="16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(10,432)</w:t>
            </w:r>
          </w:p>
        </w:tc>
        <w:tc>
          <w:tcPr>
            <w:tcW w:w="18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(53,142)</w:t>
            </w:r>
          </w:p>
        </w:tc>
        <w:tc>
          <w:tcPr>
            <w:tcW w:w="160" w:type="dxa"/>
            <w:vAlign w:val="bottom"/>
          </w:tcPr>
          <w:p>
            <w:pPr>
              <w:spacing w:after="0"/>
              <w:rPr>
                <w:sz w:val="17"/>
                <w:szCs w:val="17"/>
                <w:color w:val="auto"/>
              </w:rPr>
            </w:pPr>
          </w:p>
        </w:tc>
        <w:tc>
          <w:tcPr>
            <w:tcW w:w="10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(12,825)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(869)</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(3,767)</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losses on financial assets</w:t>
            </w: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(34,627)</w:t>
            </w:r>
          </w:p>
        </w:tc>
        <w:tc>
          <w:tcPr>
            <w:tcW w:w="1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(14,854)</w:t>
            </w:r>
          </w:p>
        </w:tc>
        <w:tc>
          <w:tcPr>
            <w:tcW w:w="1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(60,093)</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(21,755)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Interest and similar income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Loss before tax</w:t>
            </w: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(35,153)</w:t>
            </w:r>
          </w:p>
        </w:tc>
        <w:tc>
          <w:tcPr>
            <w:tcW w:w="1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(15,224)</w:t>
            </w:r>
          </w:p>
        </w:tc>
        <w:tc>
          <w:tcPr>
            <w:tcW w:w="18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(61,016)</w:t>
            </w: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(24,400)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Taxes on income</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tcBorders>
              <w:top w:val="single" w:sz="8" w:color="CCEEFF"/>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Loss for the period</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(35,153)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(15,265)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(61,016)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(24,441)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60" w:type="dxa"/>
            <w:vAlign w:val="bottom"/>
            <w:tcBorders>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(35,153)</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(15,234)</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(61,016)</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(24,505)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in EUR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9.1</w:t>
            </w:r>
          </w:p>
        </w:tc>
        <w:tc>
          <w:tcPr>
            <w:tcW w:w="16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Basic/diluted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(0.45)/(0.45)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(0.47)/(0.47)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(0.81)/(0.81)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for calculation of</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per share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Basic/diluted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78,519,562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32,381,964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75,544,645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32,367,901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0" w:type="dxa"/>
            <w:vAlign w:val="bottom"/>
          </w:tcPr>
          <w:p>
            <w:pPr>
              <w:spacing w:after="0"/>
              <w:rPr>
                <w:sz w:val="1"/>
                <w:szCs w:val="1"/>
                <w:color w:val="auto"/>
              </w:rPr>
            </w:pPr>
          </w:p>
        </w:tc>
      </w:tr>
      <w:tr>
        <w:trPr>
          <w:trHeight w:val="139"/>
        </w:trPr>
        <w:tc>
          <w:tcPr>
            <w:tcW w:w="60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1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6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6"/>
        </w:trPr>
        <w:tc>
          <w:tcPr>
            <w:tcW w:w="60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28,494</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4,888</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89,774</w:t>
            </w:r>
          </w:p>
        </w:tc>
        <w:tc>
          <w:tcPr>
            <w:tcW w:w="2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132,939</w:t>
            </w:r>
          </w:p>
        </w:tc>
        <w:tc>
          <w:tcPr>
            <w:tcW w:w="0" w:type="dxa"/>
            <w:vAlign w:val="bottom"/>
          </w:tcPr>
          <w:p>
            <w:pPr>
              <w:spacing w:after="0"/>
              <w:rPr>
                <w:sz w:val="1"/>
                <w:szCs w:val="1"/>
                <w:color w:val="auto"/>
              </w:rPr>
            </w:pPr>
          </w:p>
        </w:tc>
      </w:tr>
      <w:tr>
        <w:trPr>
          <w:trHeight w:val="206"/>
        </w:trPr>
        <w:tc>
          <w:tcPr>
            <w:tcW w:w="60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106,251</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142,408</w:t>
            </w:r>
          </w:p>
        </w:tc>
        <w:tc>
          <w:tcPr>
            <w:tcW w:w="0" w:type="dxa"/>
            <w:vAlign w:val="bottom"/>
          </w:tcPr>
          <w:p>
            <w:pPr>
              <w:spacing w:after="0"/>
              <w:rPr>
                <w:sz w:val="1"/>
                <w:szCs w:val="1"/>
                <w:color w:val="auto"/>
              </w:rPr>
            </w:pPr>
          </w:p>
        </w:tc>
      </w:tr>
      <w:tr>
        <w:trPr>
          <w:trHeight w:val="206"/>
        </w:trPr>
        <w:tc>
          <w:tcPr>
            <w:tcW w:w="6020" w:type="dxa"/>
            <w:vAlign w:val="bottom"/>
            <w:tcBorders>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134,745</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147,296</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221,785</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(208,096)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(147,081)</w:t>
            </w:r>
          </w:p>
        </w:tc>
        <w:tc>
          <w:tcPr>
            <w:tcW w:w="0" w:type="dxa"/>
            <w:vAlign w:val="bottom"/>
          </w:tcPr>
          <w:p>
            <w:pPr>
              <w:spacing w:after="0"/>
              <w:rPr>
                <w:sz w:val="1"/>
                <w:szCs w:val="1"/>
                <w:color w:val="auto"/>
              </w:rPr>
            </w:pPr>
          </w:p>
        </w:tc>
      </w:tr>
      <w:tr>
        <w:trPr>
          <w:trHeight w:val="206"/>
        </w:trPr>
        <w:tc>
          <w:tcPr>
            <w:tcW w:w="6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62,149</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83,439</w:t>
            </w:r>
          </w:p>
        </w:tc>
        <w:tc>
          <w:tcPr>
            <w:tcW w:w="0" w:type="dxa"/>
            <w:vAlign w:val="bottom"/>
          </w:tcPr>
          <w:p>
            <w:pPr>
              <w:spacing w:after="0"/>
              <w:rPr>
                <w:sz w:val="1"/>
                <w:szCs w:val="1"/>
                <w:color w:val="auto"/>
              </w:rPr>
            </w:pPr>
          </w:p>
        </w:tc>
      </w:tr>
      <w:tr>
        <w:trPr>
          <w:trHeight w:val="206"/>
        </w:trPr>
        <w:tc>
          <w:tcPr>
            <w:tcW w:w="602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received from customers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44,756</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2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60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53,442</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51,109</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06"/>
        </w:trPr>
        <w:tc>
          <w:tcPr>
            <w:tcW w:w="60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19,154</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12,748</w:t>
            </w:r>
          </w:p>
        </w:tc>
        <w:tc>
          <w:tcPr>
            <w:tcW w:w="0" w:type="dxa"/>
            <w:vAlign w:val="bottom"/>
          </w:tcPr>
          <w:p>
            <w:pPr>
              <w:spacing w:after="0"/>
              <w:rPr>
                <w:sz w:val="1"/>
                <w:szCs w:val="1"/>
                <w:color w:val="auto"/>
              </w:rPr>
            </w:pPr>
          </w:p>
        </w:tc>
      </w:tr>
      <w:tr>
        <w:trPr>
          <w:trHeight w:val="206"/>
        </w:trPr>
        <w:tc>
          <w:tcPr>
            <w:tcW w:w="6020" w:type="dxa"/>
            <w:vAlign w:val="bottom"/>
            <w:tcBorders>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134,745</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147,296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CHANGES IN EQUITY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Subscribed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reserves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January 1,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39,490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(83,123)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increase, net of transaction costs of kEUR 17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Measurement Convertible Bond (OCI)</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(OCI)</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Result for the period</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(24,441)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20" w:type="dxa"/>
            <w:vAlign w:val="bottom"/>
            <w:tcBorders>
              <w:top w:val="single" w:sz="8" w:color="CCEEFF"/>
              <w:bottom w:val="single" w:sz="8" w:color="CCEEFF"/>
            </w:tcBorders>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 on June 30, 2021</w:t>
            </w:r>
          </w:p>
        </w:tc>
        <w:tc>
          <w:tcPr>
            <w:tcW w:w="7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6,472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40,969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33,239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(107,563)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(26,882)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on January 01, 2022</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20" w:type="dxa"/>
            <w:vAlign w:val="bottom"/>
            <w:gridSpan w:val="3"/>
            <w:vMerge w:val="continue"/>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8,735</w:t>
            </w:r>
          </w:p>
        </w:tc>
        <w:tc>
          <w:tcPr>
            <w:tcW w:w="16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187,894</w:t>
            </w:r>
          </w:p>
        </w:tc>
        <w:tc>
          <w:tcPr>
            <w:tcW w:w="160" w:type="dxa"/>
            <w:vAlign w:val="bottom"/>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33,891</w:t>
            </w:r>
          </w:p>
        </w:tc>
        <w:tc>
          <w:tcPr>
            <w:tcW w:w="160" w:type="dxa"/>
            <w:vAlign w:val="bottom"/>
          </w:tcPr>
          <w:p>
            <w:pPr>
              <w:spacing w:after="0"/>
              <w:rPr>
                <w:sz w:val="16"/>
                <w:szCs w:val="16"/>
                <w:color w:val="auto"/>
              </w:rPr>
            </w:pPr>
          </w:p>
        </w:tc>
        <w:tc>
          <w:tcPr>
            <w:tcW w:w="8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(147,080)</w:t>
            </w:r>
          </w:p>
        </w:tc>
        <w:tc>
          <w:tcPr>
            <w:tcW w:w="160" w:type="dxa"/>
            <w:vAlign w:val="bottom"/>
            <w:vMerge w:val="continue"/>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83,439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increase, net of transaction costs of kEUR 842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37,849</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(61,016)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20" w:type="dxa"/>
            <w:vAlign w:val="bottom"/>
            <w:gridSpan w:val="3"/>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 on June 30, 2022</w:t>
            </w:r>
          </w:p>
        </w:tc>
        <w:tc>
          <w:tcPr>
            <w:tcW w:w="7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9,390</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225,743</w:t>
            </w:r>
          </w:p>
        </w:tc>
        <w:tc>
          <w:tcPr>
            <w:tcW w:w="1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35,112</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(208,096)</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62,149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0" w:type="dxa"/>
            <w:vAlign w:val="bottom"/>
          </w:tcPr>
          <w:p>
            <w:pPr>
              <w:spacing w:after="0"/>
              <w:rPr>
                <w:sz w:val="1"/>
                <w:szCs w:val="1"/>
                <w:color w:val="auto"/>
              </w:rPr>
            </w:pPr>
          </w:p>
        </w:tc>
      </w:tr>
      <w:tr>
        <w:trPr>
          <w:trHeight w:val="146"/>
        </w:trPr>
        <w:tc>
          <w:tcPr>
            <w:tcW w:w="6620" w:type="dxa"/>
            <w:vAlign w:val="bottom"/>
          </w:tcPr>
          <w:p>
            <w:pPr>
              <w:spacing w:after="0"/>
              <w:rPr>
                <w:sz w:val="12"/>
                <w:szCs w:val="12"/>
                <w:color w:val="auto"/>
              </w:rPr>
            </w:pPr>
          </w:p>
        </w:tc>
        <w:tc>
          <w:tcPr>
            <w:tcW w:w="17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56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kEUR</w:t>
            </w:r>
          </w:p>
        </w:tc>
        <w:tc>
          <w:tcPr>
            <w:tcW w:w="260" w:type="dxa"/>
            <w:vAlign w:val="bottom"/>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(61,016)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for share-based payment transactions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expenses(+)/income(-)</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 and similar income</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Movements in provisions</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trade receivables and other assets</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(6,993)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trade and other payables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advance payments received from customers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2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15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(59,024)</w:t>
            </w:r>
          </w:p>
        </w:tc>
        <w:tc>
          <w:tcPr>
            <w:tcW w:w="26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(17,338)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(23,959)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2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15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(23,995)</w:t>
            </w:r>
          </w:p>
        </w:tc>
        <w:tc>
          <w:tcPr>
            <w:tcW w:w="26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issues of shares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principal portion of lease liabilities</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2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cash flow from financing activities</w:t>
            </w:r>
          </w:p>
        </w:tc>
        <w:tc>
          <w:tcPr>
            <w:tcW w:w="15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38,291</w:t>
            </w:r>
          </w:p>
        </w:tc>
        <w:tc>
          <w:tcPr>
            <w:tcW w:w="26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20" w:type="dxa"/>
            <w:vAlign w:val="bottom"/>
            <w:tcBorders>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5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(44,728)</w:t>
            </w: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(17,131)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15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1,563</w:t>
            </w:r>
          </w:p>
        </w:tc>
        <w:tc>
          <w:tcPr>
            <w:tcW w:w="260" w:type="dxa"/>
            <w:vAlign w:val="bottom"/>
          </w:tcPr>
          <w:p>
            <w:pPr>
              <w:spacing w:after="0"/>
              <w:rPr>
                <w:sz w:val="16"/>
                <w:szCs w:val="16"/>
                <w:color w:val="auto"/>
              </w:rPr>
            </w:pPr>
          </w:p>
        </w:tc>
        <w:tc>
          <w:tcPr>
            <w:tcW w:w="15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132,939</w:t>
            </w:r>
          </w:p>
        </w:tc>
        <w:tc>
          <w:tcPr>
            <w:tcW w:w="26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2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5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89,774</w:t>
            </w:r>
          </w:p>
        </w:tc>
        <w:tc>
          <w:tcPr>
            <w:tcW w:w="26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26,133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78" w:lineRule="exact"/>
        <w:rPr>
          <w:sz w:val="20"/>
          <w:szCs w:val="20"/>
          <w:color w:val="auto"/>
        </w:rPr>
      </w:pPr>
    </w:p>
    <w:p>
      <w:pPr>
        <w:ind w:left="320" w:hanging="313"/>
        <w:spacing w:after="0"/>
        <w:tabs>
          <w:tab w:leader="none" w:pos="3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18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Sono Group N.V. (“Sono N.V.” or the “Company”) is registered in the business register (Netherlands Chamber of Commerce) and its corporate seat is in Amsterdam. The Company has its business exclusively in Germany as the management is located there and the business address is Waldmeisterstraße 76, 80935 Munich, Germany (trade register number: 80683568). Sono N.V.’s sole and wholly-owned subsidiary, Sono Motors GmbH (“Sono Motors”), is registered in the commercial register (Handelsregister) at the local court (Amtsgericht) of Munich, Germany, under HRB 224131. Sono Motors’ registered headquarters is Waldmeisterstraße 76, 80935 Munich, Germany. Sono N.V. is the ultimate parent of the Group. Hereinafter, Sono N.V. and its consolidated subsidiary collectively are referred to as the “Sono Group” or the “Group”. Sono Group develops and plans to sell mainly electric vehicles with integrated solar panels and to license its solar technology to other Original Equipment Manufacturers (OEMs). The Group started business in January 2016 and expects to complete prototype testing in 2023 and start serial production in the second half of 2023.</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November 2021, Sono N.V. successfully completed an initial public offering (IPO) and is now listed on the Nasdaq Stock Market.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under the ticker symbol “SEV” commenced on November 17, 2021.</w:t>
      </w:r>
    </w:p>
    <w:p>
      <w:pPr>
        <w:spacing w:after="0" w:line="170" w:lineRule="exact"/>
        <w:rPr>
          <w:sz w:val="20"/>
          <w:szCs w:val="20"/>
          <w:color w:val="auto"/>
        </w:rPr>
      </w:pPr>
    </w:p>
    <w:p>
      <w:pPr>
        <w:ind w:left="320" w:hanging="313"/>
        <w:spacing w:after="0"/>
        <w:tabs>
          <w:tab w:leader="none" w:pos="3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of consolidated interim financial statements</w:t>
      </w:r>
    </w:p>
    <w:p>
      <w:pPr>
        <w:spacing w:after="0" w:line="180"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These interim condensed consolidated financial statements for the interim reporting period ended June 30, 2022, have been prepared in accordance with accounting standard IAS 34 Interim Financial Reporting as issued by the International Accounting Standards Board (“IASB”).</w:t>
      </w:r>
    </w:p>
    <w:p>
      <w:pPr>
        <w:spacing w:after="0" w:line="13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The interim condensed consolidated financial statements do not include all the notes of the type normally included in annual financial statements. Accordingly, these interim condensed consolidated financial statements are to be read in conjunction with the annual financial statements for the year ended December 31, 2021. The consolidated balance sheet as of December 31, 2021 was derived from audited financial statements although certain amounts have been reclassified to conform to the 2022 presentation. In relation to corrections of immaterial errors in previously issued financial statements we refer to section 3. The accounting policies adopted are consistent with those of the previous financial year and corresponding interim reporting period except of the reclassification mentioned above. The Group did not have to change its accounting policies or make retrospective adjustments as a result of adopting new standards.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figures shown are rounded, so minor discrepancies may arise from addition of these amounts.</w:t>
      </w:r>
    </w:p>
    <w:p>
      <w:pPr>
        <w:spacing w:after="0" w:line="189" w:lineRule="exact"/>
        <w:rPr>
          <w:sz w:val="20"/>
          <w:szCs w:val="20"/>
          <w:color w:val="auto"/>
        </w:rPr>
      </w:pPr>
    </w:p>
    <w:p>
      <w:pPr>
        <w:ind w:left="320" w:hanging="313"/>
        <w:spacing w:after="0"/>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Correction of Immaterial Error in Previously Issued Financial Statements</w:t>
      </w:r>
    </w:p>
    <w:p>
      <w:pPr>
        <w:spacing w:after="0" w:line="180"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preparation of its consolidated financial statements for the year ended December 31, 2021, the Company identified immaterial errors related to the capitalization of fixed assets as well as the accounting for costs related to the IPO, which were properly accounted for in its financial statements as of and for the year ended December 31, 2021 but which have a retrospective impact on its comparative interim condensed consolidated financial statements for the interim reporting period ended June 30, 2021. Specifically, the Company concluded that (i) kEUR 650, which were originally reflected as Cost of research and development, met the criteria for capitalization pursuant to IAS 16, Property, Plant and Equipment and (ii) kEUR 595 should have been ascribed to its newly issued shares pursuant to IAS 32, Financial Instruments: Presentation, and recognized in equity. Although the Company concluded that the errors are immaterial, it has nonetheless opted to revise its financial statements for the period ended June 30, 2021.</w:t>
      </w:r>
    </w:p>
    <w:p>
      <w:pPr>
        <w:spacing w:after="0" w:line="144" w:lineRule="exact"/>
        <w:rPr>
          <w:sz w:val="20"/>
          <w:szCs w:val="20"/>
          <w:color w:val="auto"/>
        </w:rPr>
      </w:pPr>
    </w:p>
    <w:p>
      <w:pPr>
        <w:ind w:right="7280" w:firstLine="7"/>
        <w:spacing w:after="0" w:line="447" w:lineRule="auto"/>
        <w:tabs>
          <w:tab w:leader="none" w:pos="31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matters 4.1 Going Concern</w:t>
      </w:r>
    </w:p>
    <w:p>
      <w:pPr>
        <w:ind w:firstLine="318"/>
        <w:spacing w:after="0" w:line="282" w:lineRule="auto"/>
        <w:rPr>
          <w:sz w:val="20"/>
          <w:szCs w:val="20"/>
          <w:color w:val="auto"/>
        </w:rPr>
      </w:pPr>
      <w:r>
        <w:rPr>
          <w:rFonts w:ascii="Times New Roman" w:cs="Times New Roman" w:eastAsia="Times New Roman" w:hAnsi="Times New Roman"/>
          <w:sz w:val="17"/>
          <w:szCs w:val="17"/>
          <w:color w:val="auto"/>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interim condensed consolidated financial statements.</w:t>
      </w:r>
    </w:p>
    <w:p>
      <w:pPr>
        <w:spacing w:after="0" w:line="120"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8"/>
          <w:szCs w:val="18"/>
          <w:color w:val="auto"/>
        </w:rPr>
        <w:t>Historically, Sono Group has financed its operations primarily through capital raises and loans from shareholders and private investors (including its IPO in November 2021 and a second public offering in May 2022) as well as through advance payments received from customers. Since inception, Sono Group has incurred recurring losses and negative cash flows from operations,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including accumulated net losses of kEUR 208,096 as of June 30, 2022, and expects to continue to generate operating losses and negative cash flows from operations for the foreseeable future.</w:t>
      </w:r>
    </w:p>
    <w:p>
      <w:pPr>
        <w:spacing w:after="0" w:line="124" w:lineRule="exact"/>
        <w:rPr>
          <w:sz w:val="20"/>
          <w:szCs w:val="20"/>
          <w:color w:val="auto"/>
        </w:rPr>
      </w:pPr>
    </w:p>
    <w:p>
      <w:pPr>
        <w:jc w:val="both"/>
        <w:ind w:right="100" w:firstLine="318"/>
        <w:spacing w:after="0" w:line="268" w:lineRule="auto"/>
        <w:rPr>
          <w:sz w:val="20"/>
          <w:szCs w:val="20"/>
          <w:color w:val="auto"/>
        </w:rPr>
      </w:pPr>
      <w:r>
        <w:rPr>
          <w:rFonts w:ascii="Times New Roman" w:cs="Times New Roman" w:eastAsia="Times New Roman" w:hAnsi="Times New Roman"/>
          <w:sz w:val="17"/>
          <w:szCs w:val="17"/>
          <w:color w:val="auto"/>
        </w:rPr>
        <w:t>In November 2021, Sono Group received net proceeds from its IPO in the amount of kEUR 142,334. At that time, Sono Management planned and disclosed that the proceeds were to be used to finalize the development of the prototype SVC3 and to maintain liquidity of the Company until May 2023 (including a reserve sufficient to cover any potential repayments of the customer prepayments at any time).</w:t>
      </w:r>
    </w:p>
    <w:p>
      <w:pPr>
        <w:spacing w:after="0" w:line="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Management began to increase headcount and proceeded with additional development and production activities for the car and solar technology, which increased the rate at which available cash is being expended. Additionally, the change in contract manufacturer caused the planned start of serial production to be postponed from the first half of 2023 to the second half of 2023 and the cost estimates for pre-production activities have increased. On July 26, 2022 Sono Motors presented to the public the 3rd generation of prototypes of its solar electric vehicle (SEV), the Sion, in its production design, internally referred to as SVC3. Currently, Sono’s management expects to continue incurring costs as they finish production of additional SVC3 units that will be used for testing and validation procedures.</w:t>
      </w:r>
    </w:p>
    <w:p>
      <w:pPr>
        <w:spacing w:after="0" w:line="148" w:lineRule="exact"/>
        <w:rPr>
          <w:sz w:val="20"/>
          <w:szCs w:val="20"/>
          <w:color w:val="auto"/>
        </w:rPr>
      </w:pPr>
    </w:p>
    <w:p>
      <w:pPr>
        <w:ind w:right="120" w:firstLine="318"/>
        <w:spacing w:after="0" w:line="253" w:lineRule="auto"/>
        <w:rPr>
          <w:sz w:val="20"/>
          <w:szCs w:val="20"/>
          <w:color w:val="auto"/>
        </w:rPr>
      </w:pPr>
      <w:r>
        <w:rPr>
          <w:rFonts w:ascii="Times New Roman" w:cs="Times New Roman" w:eastAsia="Times New Roman" w:hAnsi="Times New Roman"/>
          <w:sz w:val="18"/>
          <w:szCs w:val="18"/>
          <w:color w:val="auto"/>
        </w:rPr>
        <w:t>Sono Group’s financing plan shows substantial financing needs, including increased needs due to the change in the contract manufacturer, planned cost increases, additional technical and regulatory requirements, and changes in suppliers in addition to the current economic environment of increasing prices, resulting in significantly higher financing requirements needed to reach the start of serial production in the second half of 2023. Based on numerous risks and uncertainties, Sono Group cannot predict with certainty the total costs to be incurred prior to the commencement of production.</w:t>
      </w:r>
    </w:p>
    <w:p>
      <w:pPr>
        <w:spacing w:after="0" w:line="156"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7"/>
          <w:szCs w:val="17"/>
          <w:color w:val="auto"/>
        </w:rPr>
        <w:t>Sono Group’s forecasted cash required to fund investments and operations (excluding future financing plans and counter measures to be taken by management) indicates that the Group does not currently have sufficient funds to fund its operations as currently planned through the twelve-month period from the issuance date of these interim condensed consolidated financial statements. Consequently, the Group’s ability to continue as a going concern is largely dependent on its ability to raise additional funds in the near future through debt or equity transactions, additional advance payments, or other means, to finance investments and operations and ultimately, to achieve serial production of the Sion. Following the second public offering in May 2022, of a net amount of mEUR 39.3. Sono Group’s management still plans to raise additional capital of at least mEUR 122 (as per July 31, 2022) in 2022 through the issuance of new shares including through the existing committed equity facility signed with Berenberg on June 13, 2022. This committed equity facility provides Sono Group with the right, without obligation, to sell and issue up to $150 million of its ordinary shares (at a discount to the volume-weighted average price on the date a purchase notice is deemed delivered from the Group to Berenberg) over a period of 24 months to Berenberg at the sole discretion of Sono Group, subject to certain limitations and conditions set out in the respective agreement (including the filing and securing effectiveness of the registration statement) with one of the key limitations being the trading volume of Sono N.V.’s stock. In particular, the terms of the agreement limit the number of shares that Sono may decide to sell to Berenberg on any given day to 20% trading volume on such day. Further capital will be needed and is currently expected to be raised at a future date prior to commencement of production. In addition, the Group is exploring alternative methods of obtaining financing, including applying for subsidies and grants.</w:t>
      </w:r>
    </w:p>
    <w:p>
      <w:pPr>
        <w:spacing w:after="0" w:line="143"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There is no certainty that Sono Group will be successful in obtaining sufficient funding through additional public offerings of equity, the committed equity facility, or through subsidies and grants. If the Group is unsuccessful in raising the planned capital, Sono Group’s management will be forced to undertake, and is committed to undertaking, substantial short-term cost-cutting measures in order to maintain minimum liquidity of the Company within the twelve-month period from the issuance date of these interim condensed consolidated financial statements in order to gain additional time for raising sufficient funds for the start of production. Risks and uncertainties related to the supply chain, negative cost development, disruption in our suppliers, technical challenges (e.g. homologation certification, changes in construction), the ongoing corona pandemic – especially in China – and the war in Ukraine may further negatively affect the Group’s business, its ability to reach serial production of the car, liquidity and financial position going forward.</w:t>
      </w:r>
    </w:p>
    <w:p>
      <w:pPr>
        <w:spacing w:after="0" w:line="14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As discussed above, Sono Group will need to raise substantial additional capital to reach serial production of the car and to finance its future operations, which is not assured, and management has consequently concluded that there is substantial doubt about its ability to continue as a going concern. The interim condensed consolidated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Corona Pandemic</w:t>
      </w:r>
    </w:p>
    <w:p>
      <w:pPr>
        <w:spacing w:after="0" w:line="180" w:lineRule="exact"/>
        <w:rPr>
          <w:sz w:val="20"/>
          <w:szCs w:val="20"/>
          <w:color w:val="auto"/>
        </w:rPr>
      </w:pPr>
    </w:p>
    <w:p>
      <w:pPr>
        <w:ind w:right="360" w:firstLine="318"/>
        <w:spacing w:after="0" w:line="275" w:lineRule="auto"/>
        <w:rPr>
          <w:sz w:val="20"/>
          <w:szCs w:val="20"/>
          <w:color w:val="auto"/>
        </w:rPr>
      </w:pPr>
      <w:r>
        <w:rPr>
          <w:rFonts w:ascii="Times New Roman" w:cs="Times New Roman" w:eastAsia="Times New Roman" w:hAnsi="Times New Roman"/>
          <w:sz w:val="17"/>
          <w:szCs w:val="17"/>
          <w:color w:val="auto"/>
        </w:rPr>
        <w:t>In 2020, COVID-19 caused a global pandemic. At the end of the first half 2022, the pandemic was still present. In response to this pandemic, governments as well as private organizations implemented numerous measures seeking to contain the virus. These measures disrupted the manufacturing, delivery and overall supply chain of vehicle manufacturers and suppliers and led to a global decrease in vehicle sales. These measures have also led to a trend to work-from-home, which could result in a lower demand for cars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in the future and negatively impact the Group’s sales and marketing activities. The pandemic may also affect the interest of Sono Group’s customers in their car-sharing and ride-pooling networks. Sono Group cannot yet foresee the full extent of COVID-19’s impact on its business and operations and such impact will depend on future developments of the outbreak, including new information concerning the global severity of and actions taken to contain the outbreak and any future mutations of the virus, which are highly uncertain and unpredictable. The virus could have a material impact on Sono Group’s ability to raise additional liquidity to the extent needed and capital management. Sono Group will continue to monitor the situation and the effects of this development on its liquidity and capital management. At the same time, Sono Group has taken actions to maintain operations and protect employees from infection. Since 2020, COVID-19 has had a slightly negative impact on orders and advance payments received from customers. Based on the most recent available information, COVID-19 might continue to have a negative effect on orders and advance payments received from customers in the course of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Russo-Ukrainian war</w:t>
      </w:r>
    </w:p>
    <w:p>
      <w:pPr>
        <w:spacing w:after="0" w:line="18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In February 2022, the Russian Army invaded Ukraine across a broad front. In response to this aggression, governments around the world have imposed severe sanctions against Russia. These sanctions disrupted the manufacturing, delivery and overall supply chain of vehicle manufacturers and suppliers. Sono Group cannot yet foresee the full extent of the sanctions’ impact on its business and operations and such impact will depend on future developments of the war, which is highly uncertain and unpredictable. The war could have a material impact on Sono Group’s results of operations, liquidity, and capital management. Sono Group will continue to monitor the situation and the effect of this development on its liquidity and capital management.</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80"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for which discrete financial information is available and whose operating results are regularly reviewed by management (chief operating decision maker within the meaning of IFRS 8). Sono Group is a start-up company that has not yet started production. As all significant activities of the Group relate to the development of the electrical car Sion, and management makes decisions about allocating resources and assessing performance based on the entity as a whole, Management has determined that Sono Group operates in one operating and reportable business segment. For the distribution of revenues across products, please refer to note 6.2 Revenue and cost of goods sold.</w:t>
      </w:r>
    </w:p>
    <w:p>
      <w:pPr>
        <w:spacing w:after="0" w:line="158" w:lineRule="exact"/>
        <w:rPr>
          <w:sz w:val="20"/>
          <w:szCs w:val="20"/>
          <w:color w:val="auto"/>
        </w:rPr>
      </w:pPr>
    </w:p>
    <w:p>
      <w:pPr>
        <w:ind w:right="3700" w:firstLine="7"/>
        <w:spacing w:after="0" w:line="447" w:lineRule="auto"/>
        <w:tabs>
          <w:tab w:leader="none" w:pos="31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Disclosures to the interim condensed consolidated statements of income or loss 6.1 Significant events and transactions</w:t>
      </w: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Sono Group is in its development &amp; validation phase. Due to the ongoing development of the Group and its core product, the Group’s operations were more extensive in the first half of 2022 than they were in the first half of the previous year. Consequently, there were developments in several line items in the consolidated statements of income (loss). In particular, the continuing and expanded development of prototypes led to a significant increase in the cost of research and development. The hiring of additional staff with administrative tasks and the augmented use of professional services also increased general and administrative expenses. As the Group has not entered serial production yet, selling and distribution expenses have not risen but were slightly reduced, as compared to the first half of 2021. Furthermore, due to the successful IPO in November 2021, the Group relies less on debt financing than in the first half of 2021. Consequently, interest and similar expenses were significantly reduced.</w:t>
      </w:r>
    </w:p>
    <w:p>
      <w:pPr>
        <w:spacing w:after="0" w:line="146" w:lineRule="exact"/>
        <w:rPr>
          <w:sz w:val="20"/>
          <w:szCs w:val="20"/>
          <w:color w:val="auto"/>
        </w:rPr>
      </w:pPr>
    </w:p>
    <w:p>
      <w:pPr>
        <w:ind w:right="120" w:firstLine="318"/>
        <w:spacing w:after="0" w:line="282" w:lineRule="auto"/>
        <w:rPr>
          <w:sz w:val="20"/>
          <w:szCs w:val="20"/>
          <w:color w:val="auto"/>
        </w:rPr>
      </w:pPr>
      <w:r>
        <w:rPr>
          <w:rFonts w:ascii="Times New Roman" w:cs="Times New Roman" w:eastAsia="Times New Roman" w:hAnsi="Times New Roman"/>
          <w:sz w:val="17"/>
          <w:szCs w:val="17"/>
          <w:color w:val="auto"/>
        </w:rPr>
        <w:t>In April 2022, Management offered all permanent employees, except the top management, the opportunity to join a new employee participation program (Employee Stock Option Program or ESOP), which is equity-settled. Every employee will be granted the equivalent of ten percent of their annual gross salary in stock options, with a minimum of kEUR 5 worth of stock options, per year and employee.</w:t>
      </w:r>
    </w:p>
    <w:p>
      <w:pPr>
        <w:spacing w:after="0" w:line="120" w:lineRule="exact"/>
        <w:rPr>
          <w:sz w:val="20"/>
          <w:szCs w:val="20"/>
          <w:color w:val="auto"/>
        </w:rPr>
      </w:pPr>
    </w:p>
    <w:p>
      <w:pPr>
        <w:ind w:right="260" w:firstLine="318"/>
        <w:spacing w:after="0" w:line="304" w:lineRule="auto"/>
        <w:rPr>
          <w:sz w:val="20"/>
          <w:szCs w:val="20"/>
          <w:color w:val="auto"/>
        </w:rPr>
      </w:pPr>
      <w:r>
        <w:rPr>
          <w:rFonts w:ascii="Times New Roman" w:cs="Times New Roman" w:eastAsia="Times New Roman" w:hAnsi="Times New Roman"/>
          <w:sz w:val="17"/>
          <w:szCs w:val="17"/>
          <w:color w:val="auto"/>
        </w:rPr>
        <w:t>As of June 30, 2022, no employees have signed the ESOP because the drafting of the contracts has not been finalized yet. However, since the employees are already rendering service for the ESOP, expense has been recognized in the second quarter of 2022.</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the expected status as of June 30, 2022:</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Entitlement to ESOP</w:t>
            </w:r>
          </w:p>
        </w:tc>
        <w:tc>
          <w:tcPr>
            <w:tcW w:w="15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Entitlements</w:t>
            </w:r>
          </w:p>
        </w:tc>
        <w:tc>
          <w:tcPr>
            <w:tcW w:w="0" w:type="dxa"/>
            <w:vAlign w:val="bottom"/>
          </w:tcPr>
          <w:p>
            <w:pPr>
              <w:spacing w:after="0"/>
              <w:rPr>
                <w:sz w:val="1"/>
                <w:szCs w:val="1"/>
                <w:color w:val="auto"/>
              </w:rPr>
            </w:pPr>
          </w:p>
        </w:tc>
      </w:tr>
      <w:tr>
        <w:trPr>
          <w:trHeight w:val="206"/>
        </w:trPr>
        <w:tc>
          <w:tcPr>
            <w:tcW w:w="624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Entitlement for 2021 tranche</w:t>
            </w:r>
          </w:p>
        </w:tc>
        <w:tc>
          <w:tcPr>
            <w:tcW w:w="1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6"/>
        </w:trPr>
        <w:tc>
          <w:tcPr>
            <w:tcW w:w="6420" w:type="dxa"/>
            <w:vAlign w:val="bottom"/>
            <w:tcBorders>
              <w:bottom w:val="single" w:sz="8" w:color="CCEEFF"/>
            </w:tcBorders>
            <w:gridSpan w:val="2"/>
          </w:tcPr>
          <w:p>
            <w:pPr>
              <w:spacing w:after="0" w:line="206" w:lineRule="exact"/>
              <w:rPr>
                <w:sz w:val="20"/>
                <w:szCs w:val="20"/>
                <w:color w:val="auto"/>
              </w:rPr>
            </w:pPr>
            <w:r>
              <w:rPr>
                <w:rFonts w:ascii="Times New Roman" w:cs="Times New Roman" w:eastAsia="Times New Roman" w:hAnsi="Times New Roman"/>
                <w:sz w:val="18"/>
                <w:szCs w:val="18"/>
                <w:color w:val="auto"/>
              </w:rPr>
              <w:t>Entitlement for 2022 tranche</w:t>
            </w:r>
          </w:p>
        </w:tc>
        <w:tc>
          <w:tcPr>
            <w:tcW w:w="15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6"/>
        </w:trPr>
        <w:tc>
          <w:tcPr>
            <w:tcW w:w="642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06" w:right="9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0" w:firstLine="318"/>
        <w:spacing w:after="0" w:line="260" w:lineRule="auto"/>
        <w:rPr>
          <w:sz w:val="20"/>
          <w:szCs w:val="20"/>
          <w:color w:val="auto"/>
        </w:rPr>
      </w:pPr>
      <w:r>
        <w:rPr>
          <w:rFonts w:ascii="Times New Roman" w:cs="Times New Roman" w:eastAsia="Times New Roman" w:hAnsi="Times New Roman"/>
          <w:sz w:val="18"/>
          <w:szCs w:val="18"/>
          <w:color w:val="auto"/>
        </w:rPr>
        <w:t>Tranches for the years 2021 and 2022 have a cliff vesting that requires staff members to remain employed at Sono Motors until September 30 of the following year. If the employment of the staff with Sono Motors should end before the cliff date, the share options are forfeited. After the vesting period all granted share options will become immediately exercisable.</w:t>
      </w:r>
    </w:p>
    <w:p>
      <w:pPr>
        <w:spacing w:after="0" w:line="136"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Sono N.V. initially measures the fair value of the received services by reference to the fair value of the equity instruments (share options) which are planned to be granted and the number of share options planned in relation to each participant, and which is expected to vest. The measurement of the fair value is provisional and will be updated on the grant date. Sono N.V. recognizes the fair value of the services as expenses and a corresponding increase in equity when the services are received.</w:t>
      </w:r>
    </w:p>
    <w:p>
      <w:pPr>
        <w:spacing w:after="0" w:line="142"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illustrates the planned volume of the program, the weighted average fair value at reporting date June 30, 2022, as well as the total expense of the period and the corresponding increase in equity:</w:t>
      </w:r>
    </w:p>
    <w:p>
      <w:pPr>
        <w:spacing w:after="0" w:line="14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Equity-settled</w:t>
            </w:r>
          </w:p>
        </w:tc>
      </w:tr>
      <w:tr>
        <w:trPr>
          <w:trHeight w:val="206"/>
        </w:trPr>
        <w:tc>
          <w:tcPr>
            <w:tcW w:w="67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Number of options planned to be granted</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506,379</w:t>
            </w:r>
          </w:p>
        </w:tc>
      </w:tr>
      <w:tr>
        <w:trPr>
          <w:trHeight w:val="21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fair value at reporting date (EUR)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2"/>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of the period (EUR)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292,264</w:t>
            </w:r>
          </w:p>
        </w:tc>
      </w:tr>
      <w:tr>
        <w:trPr>
          <w:trHeight w:val="21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equity (EUR)</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292,264</w:t>
            </w:r>
          </w:p>
        </w:tc>
      </w:tr>
    </w:tbl>
    <w:p>
      <w:pPr>
        <w:spacing w:after="0" w:line="194"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Sono N.V. recognized the proportionate fair value as other general and administrative expense (kEUR 61), selling and distribution expense (kEUR 20) and cost of research and development (kEUR 211).</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number of, and movements in, share options during the year:</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 options</w:t>
            </w:r>
          </w:p>
        </w:tc>
      </w:tr>
      <w:tr>
        <w:trPr>
          <w:trHeight w:val="206"/>
        </w:trPr>
        <w:tc>
          <w:tcPr>
            <w:tcW w:w="67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January 1, 2022</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w:t>
            </w:r>
          </w:p>
        </w:tc>
      </w:tr>
      <w:tr>
        <w:trPr>
          <w:trHeight w:val="21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Planned to be 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506,379</w:t>
            </w:r>
          </w:p>
        </w:tc>
      </w:tr>
      <w:tr>
        <w:trPr>
          <w:trHeight w:val="212"/>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506,379</w:t>
            </w:r>
          </w:p>
        </w:tc>
      </w:tr>
    </w:tbl>
    <w:p>
      <w:pPr>
        <w:spacing w:after="0" w:line="19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exercise price of all share options will be EUR 0.06. The price of Sono shares as of June 30, 2022, converted to Euro, amounts to EUR 2.83.</w:t>
      </w:r>
    </w:p>
    <w:p>
      <w:pPr>
        <w:spacing w:after="0" w:line="138"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The fair value of the share options for the equity-settled share-based transactions is measured using Black-Scholes Model and the following inputs:</w:t>
      </w:r>
    </w:p>
    <w:p>
      <w:pPr>
        <w:spacing w:after="0" w:line="1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 parameter</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0" w:type="dxa"/>
            <w:vAlign w:val="bottom"/>
          </w:tcPr>
          <w:p>
            <w:pPr>
              <w:spacing w:after="0"/>
              <w:rPr>
                <w:sz w:val="1"/>
                <w:szCs w:val="1"/>
                <w:color w:val="auto"/>
              </w:rPr>
            </w:pPr>
          </w:p>
        </w:tc>
      </w:tr>
      <w:tr>
        <w:trPr>
          <w:trHeight w:val="206"/>
        </w:trPr>
        <w:tc>
          <w:tcPr>
            <w:tcW w:w="610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Share price (EUR</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260"/>
              <w:spacing w:after="0" w:line="206" w:lineRule="exact"/>
              <w:rPr>
                <w:sz w:val="20"/>
                <w:szCs w:val="20"/>
                <w:color w:val="auto"/>
              </w:rPr>
            </w:pPr>
            <w:r>
              <w:rPr>
                <w:rFonts w:ascii="Times New Roman" w:cs="Times New Roman" w:eastAsia="Times New Roman" w:hAnsi="Times New Roman"/>
                <w:sz w:val="18"/>
                <w:szCs w:val="18"/>
                <w:color w:val="auto"/>
              </w:rPr>
              <w:t>2.83</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(EUR)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8"/>
                <w:szCs w:val="18"/>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-0.44 %</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0.39 %</w:t>
            </w:r>
          </w:p>
        </w:tc>
        <w:tc>
          <w:tcPr>
            <w:tcW w:w="0" w:type="dxa"/>
            <w:vAlign w:val="bottom"/>
          </w:tcPr>
          <w:p>
            <w:pPr>
              <w:spacing w:after="0"/>
              <w:rPr>
                <w:sz w:val="1"/>
                <w:szCs w:val="1"/>
                <w:color w:val="auto"/>
              </w:rPr>
            </w:pPr>
          </w:p>
        </w:tc>
      </w:tr>
      <w:tr>
        <w:trPr>
          <w:trHeight w:val="212"/>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80.5 %</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67.8 %</w:t>
            </w:r>
          </w:p>
        </w:tc>
        <w:tc>
          <w:tcPr>
            <w:tcW w:w="0" w:type="dxa"/>
            <w:vAlign w:val="bottom"/>
          </w:tcPr>
          <w:p>
            <w:pPr>
              <w:spacing w:after="0"/>
              <w:rPr>
                <w:sz w:val="1"/>
                <w:szCs w:val="1"/>
                <w:color w:val="auto"/>
              </w:rPr>
            </w:pPr>
          </w:p>
        </w:tc>
      </w:tr>
      <w:tr>
        <w:trPr>
          <w:trHeight w:val="212"/>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life (years)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 (EUR)</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expected life of the share options is based on current expectations and is not necessarily indicative of exercise patterns that may occur. The expected volatility was based on an evaluation of historical volatilities of comparable listed peer group companies. The expected volatility reflects the assumption that the historical volatility over a period similar to the life of the options is indicative of future trends, which may not necessarily be the actual outcome.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 Revenue and cost of goods sold</w:t>
      </w:r>
    </w:p>
    <w:p>
      <w:pPr>
        <w:spacing w:after="0" w:line="180"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Revenues for six months in the amount of kEUR 39 (June 30, 2021: kEUR -), for three months June 30, 2022 kEUR 21 (three months June 30 2021: kEUR -), and cost of goods sold for six months in the amount of kEUR 140 (June 30, 2021: kEUR -) and for three months June 30, 2022 kEUR 121 (three months June 30, 2021: kEUR -) relate to the integration of Sono Motors’ patented solar technology across other transportation platforms. Revenues for six months June 30, 2022 in the amount of kEUR 3 (June 30, 2021: kEUR -), for three months June 30, 2022 kEUR 2 (three months ended June 30, 2021: kEUR -) and cost of goods sold for six months June 30, 2022 in the amount of kEUR 2 (June 30, 2021: kEUR -) and for three months ended June 30, 2022 in the amount of kEUR 1 (three months ended June 30, 2021: kEUR -) are connected with the launch of Sono app which provides an in-app booking and</w:t>
      </w:r>
    </w:p>
    <w:p>
      <w:pPr>
        <w:sectPr>
          <w:pgSz w:w="11900" w:h="16838" w:orient="portrait"/>
          <w:cols w:equalWidth="0" w:num="1">
            <w:col w:w="9900"/>
          </w:cols>
          <w:pgMar w:left="980" w:top="506"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payment system as well as additional insurance if required. Trade receivables in the amount of kEUR 39 (previous year: kEUR 20) result from these activities.</w:t>
      </w:r>
    </w:p>
    <w:p>
      <w:pPr>
        <w:spacing w:after="0" w:line="124"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Cost of goods sold (kEUR 142; previous year: kEUR 0) include a change in provision for onerous contracts and impairment of work in progress for loss making contracts.</w:t>
      </w:r>
    </w:p>
    <w:p>
      <w:pPr>
        <w:spacing w:after="0" w:line="124"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8"/>
          <w:szCs w:val="18"/>
          <w:color w:val="auto"/>
        </w:rPr>
        <w:t>As of June 30, 2022, prepayments of kEUR 115 (June 30, 2021: kEUR -) had been received from solar customers and were recognized as contract liability. The payments will be recognized in revenue when the promised goods or services are transferred in the future. Given that the nature of this liability is short term, it is included in trade and other payables in current liabilities. The aggregate amount of the transaction price allocated to unsatisfied performance obligations amounts to kEUR 275 (December 31, 2021: kEUR 42). The Group expects to recognize this amount as revenue within one year of the reporting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6.3 Cost of research and development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details on the cost of research and development: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2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9"/>
        </w:trPr>
        <w:tc>
          <w:tcPr>
            <w:tcW w:w="5700" w:type="dxa"/>
            <w:vAlign w:val="bottom"/>
          </w:tcPr>
          <w:p>
            <w:pPr>
              <w:spacing w:after="0"/>
              <w:rPr>
                <w:sz w:val="12"/>
                <w:szCs w:val="12"/>
                <w:color w:val="auto"/>
              </w:rPr>
            </w:pPr>
          </w:p>
        </w:tc>
        <w:tc>
          <w:tcPr>
            <w:tcW w:w="1100" w:type="dxa"/>
            <w:vAlign w:val="bottom"/>
            <w:tcBorders>
              <w:top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30-Jun-22</w:t>
            </w:r>
          </w:p>
        </w:tc>
        <w:tc>
          <w:tcPr>
            <w:tcW w:w="900" w:type="dxa"/>
            <w:vAlign w:val="bottom"/>
            <w:tcBorders>
              <w:top w:val="single" w:sz="8" w:color="auto"/>
            </w:tcBorders>
          </w:tcPr>
          <w:p>
            <w:pPr>
              <w:jc w:val="right"/>
              <w:ind w:right="75"/>
              <w:spacing w:after="0" w:line="139" w:lineRule="exact"/>
              <w:rPr>
                <w:sz w:val="20"/>
                <w:szCs w:val="20"/>
                <w:color w:val="auto"/>
              </w:rPr>
            </w:pPr>
            <w:r>
              <w:rPr>
                <w:rFonts w:ascii="Times New Roman" w:cs="Times New Roman" w:eastAsia="Times New Roman" w:hAnsi="Times New Roman"/>
                <w:sz w:val="14"/>
                <w:szCs w:val="14"/>
                <w:b w:val="1"/>
                <w:bCs w:val="1"/>
                <w:color w:val="auto"/>
              </w:rPr>
              <w:t>30-Jun-21</w:t>
            </w:r>
          </w:p>
        </w:tc>
        <w:tc>
          <w:tcPr>
            <w:tcW w:w="200" w:type="dxa"/>
            <w:vAlign w:val="bottom"/>
          </w:tcPr>
          <w:p>
            <w:pPr>
              <w:spacing w:after="0"/>
              <w:rPr>
                <w:sz w:val="12"/>
                <w:szCs w:val="12"/>
                <w:color w:val="auto"/>
              </w:rPr>
            </w:pPr>
          </w:p>
        </w:tc>
        <w:tc>
          <w:tcPr>
            <w:tcW w:w="1120" w:type="dxa"/>
            <w:vAlign w:val="bottom"/>
            <w:tcBorders>
              <w:top w:val="single" w:sz="8" w:color="auto"/>
            </w:tcBorders>
            <w:gridSpan w:val="2"/>
          </w:tcPr>
          <w:p>
            <w:pPr>
              <w:ind w:left="160"/>
              <w:spacing w:after="0" w:line="139" w:lineRule="exact"/>
              <w:rPr>
                <w:sz w:val="20"/>
                <w:szCs w:val="20"/>
                <w:color w:val="auto"/>
              </w:rPr>
            </w:pPr>
            <w:r>
              <w:rPr>
                <w:rFonts w:ascii="Times New Roman" w:cs="Times New Roman" w:eastAsia="Times New Roman" w:hAnsi="Times New Roman"/>
                <w:sz w:val="14"/>
                <w:szCs w:val="14"/>
                <w:b w:val="1"/>
                <w:bCs w:val="1"/>
                <w:color w:val="auto"/>
              </w:rPr>
              <w:t>30-Jun-22</w:t>
            </w:r>
          </w:p>
        </w:tc>
        <w:tc>
          <w:tcPr>
            <w:tcW w:w="900" w:type="dxa"/>
            <w:vAlign w:val="bottom"/>
            <w:tcBorders>
              <w:top w:val="single" w:sz="8" w:color="auto"/>
            </w:tcBorders>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rPr>
              <w:t>30-Jun-21</w:t>
            </w:r>
          </w:p>
        </w:tc>
      </w:tr>
      <w:tr>
        <w:trPr>
          <w:trHeight w:val="139"/>
        </w:trPr>
        <w:tc>
          <w:tcPr>
            <w:tcW w:w="57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5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5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 of prototypes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r>
      <w:tr>
        <w:trPr>
          <w:trHeight w:val="21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12"/>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thereof related to the ESOP (IFRS 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06"/>
        </w:trPr>
        <w:tc>
          <w:tcPr>
            <w:tcW w:w="57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30,402</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10,432</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53,142</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12,825</w:t>
            </w:r>
          </w:p>
        </w:tc>
      </w:tr>
      <w:tr>
        <w:trPr>
          <w:trHeight w:val="20"/>
        </w:trPr>
        <w:tc>
          <w:tcPr>
            <w:tcW w:w="5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There are no research expenses included in the profit and loss of Sono Group in the first half of 2022 and prior periods, as the Group does not perform research. As the capitalization criteria for development cost have not been met, all development expenses were recognized in profit or loss as incurred in the reporting period and the previous reporting periods. The personnel expenses concern employees responsible for development activities and the share of the employee participation program (Employee Stock Option Program or ESOP) attributable to them.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6.4 General and administrative expenses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details included in general and administrative expenses: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2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9"/>
        </w:trPr>
        <w:tc>
          <w:tcPr>
            <w:tcW w:w="5700" w:type="dxa"/>
            <w:vAlign w:val="bottom"/>
          </w:tcPr>
          <w:p>
            <w:pPr>
              <w:spacing w:after="0"/>
              <w:rPr>
                <w:sz w:val="12"/>
                <w:szCs w:val="12"/>
                <w:color w:val="auto"/>
              </w:rPr>
            </w:pPr>
          </w:p>
        </w:tc>
        <w:tc>
          <w:tcPr>
            <w:tcW w:w="1100" w:type="dxa"/>
            <w:vAlign w:val="bottom"/>
            <w:tcBorders>
              <w:top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30-Jun-22</w:t>
            </w:r>
          </w:p>
        </w:tc>
        <w:tc>
          <w:tcPr>
            <w:tcW w:w="900" w:type="dxa"/>
            <w:vAlign w:val="bottom"/>
            <w:tcBorders>
              <w:top w:val="single" w:sz="8" w:color="auto"/>
            </w:tcBorders>
          </w:tcPr>
          <w:p>
            <w:pPr>
              <w:jc w:val="right"/>
              <w:ind w:right="76"/>
              <w:spacing w:after="0" w:line="139" w:lineRule="exact"/>
              <w:rPr>
                <w:sz w:val="20"/>
                <w:szCs w:val="20"/>
                <w:color w:val="auto"/>
              </w:rPr>
            </w:pPr>
            <w:r>
              <w:rPr>
                <w:rFonts w:ascii="Times New Roman" w:cs="Times New Roman" w:eastAsia="Times New Roman" w:hAnsi="Times New Roman"/>
                <w:sz w:val="14"/>
                <w:szCs w:val="14"/>
                <w:b w:val="1"/>
                <w:bCs w:val="1"/>
                <w:color w:val="auto"/>
              </w:rPr>
              <w:t>30-Jun-21</w:t>
            </w:r>
          </w:p>
        </w:tc>
        <w:tc>
          <w:tcPr>
            <w:tcW w:w="200" w:type="dxa"/>
            <w:vAlign w:val="bottom"/>
          </w:tcPr>
          <w:p>
            <w:pPr>
              <w:spacing w:after="0"/>
              <w:rPr>
                <w:sz w:val="12"/>
                <w:szCs w:val="12"/>
                <w:color w:val="auto"/>
              </w:rPr>
            </w:pPr>
          </w:p>
        </w:tc>
        <w:tc>
          <w:tcPr>
            <w:tcW w:w="1120" w:type="dxa"/>
            <w:vAlign w:val="bottom"/>
            <w:tcBorders>
              <w:top w:val="single" w:sz="8" w:color="auto"/>
            </w:tcBorders>
            <w:gridSpan w:val="2"/>
          </w:tcPr>
          <w:p>
            <w:pPr>
              <w:ind w:left="160"/>
              <w:spacing w:after="0" w:line="139" w:lineRule="exact"/>
              <w:rPr>
                <w:sz w:val="20"/>
                <w:szCs w:val="20"/>
                <w:color w:val="auto"/>
              </w:rPr>
            </w:pPr>
            <w:r>
              <w:rPr>
                <w:rFonts w:ascii="Times New Roman" w:cs="Times New Roman" w:eastAsia="Times New Roman" w:hAnsi="Times New Roman"/>
                <w:sz w:val="14"/>
                <w:szCs w:val="14"/>
                <w:b w:val="1"/>
                <w:bCs w:val="1"/>
                <w:color w:val="auto"/>
              </w:rPr>
              <w:t>30-Jun-22</w:t>
            </w:r>
          </w:p>
        </w:tc>
        <w:tc>
          <w:tcPr>
            <w:tcW w:w="900" w:type="dxa"/>
            <w:vAlign w:val="bottom"/>
            <w:tcBorders>
              <w:top w:val="single" w:sz="8" w:color="auto"/>
            </w:tcBorders>
          </w:tcPr>
          <w:p>
            <w:pPr>
              <w:jc w:val="right"/>
              <w:ind w:right="56"/>
              <w:spacing w:after="0" w:line="139" w:lineRule="exact"/>
              <w:rPr>
                <w:sz w:val="20"/>
                <w:szCs w:val="20"/>
                <w:color w:val="auto"/>
              </w:rPr>
            </w:pPr>
            <w:r>
              <w:rPr>
                <w:rFonts w:ascii="Times New Roman" w:cs="Times New Roman" w:eastAsia="Times New Roman" w:hAnsi="Times New Roman"/>
                <w:sz w:val="14"/>
                <w:szCs w:val="14"/>
                <w:b w:val="1"/>
                <w:bCs w:val="1"/>
                <w:color w:val="auto"/>
              </w:rPr>
              <w:t>30-Jun-21</w:t>
            </w:r>
          </w:p>
        </w:tc>
      </w:tr>
      <w:tr>
        <w:trPr>
          <w:trHeight w:val="139"/>
        </w:trPr>
        <w:tc>
          <w:tcPr>
            <w:tcW w:w="57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5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5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1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12"/>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thereof related to the ESOP (IFRS 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1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06"/>
        </w:trPr>
        <w:tc>
          <w:tcPr>
            <w:tcW w:w="57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4,548</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3,767</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7,596</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7,673</w:t>
            </w:r>
          </w:p>
        </w:tc>
      </w:tr>
      <w:tr>
        <w:trPr>
          <w:trHeight w:val="20"/>
        </w:trPr>
        <w:tc>
          <w:tcPr>
            <w:tcW w:w="5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Personnel expenses are mainly comprised of employees responsible for Finance, Human Resources, Business Development, Administration etc. and the share of the employee participation program (CSOP and ESOP) attributable to them. Professional services include accounting, tax and legal services as well as other services performed by external parties such as the preparation of annual and interim consolidated financial statements in accordance with IFRS, services provided by our independent auditor, as well as legal and tax services received. Other general and administrative expenses (kEUR 2,047, first half 2021: 475) include mainly expenses for insurances (kEUR 851; first half in 2021: kEUR 2) and software (kEUR 406; first half 2021 kEUR 87) as well as transaction fees for money transfers (kEUR 211; first half 2021: kEUR 13).</w:t>
      </w:r>
    </w:p>
    <w:p>
      <w:pPr>
        <w:sectPr>
          <w:pgSz w:w="11900" w:h="16838" w:orient="portrait"/>
          <w:cols w:equalWidth="0" w:num="1">
            <w:col w:w="9920"/>
          </w:cols>
          <w:pgMar w:left="980" w:top="506"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In the first half of 2021, an impairment loss of kEUR 1,882 was recognized for the advance payment for assets intended for the development of prototypes. The assets, initially recognized in 2020, had been intended for the tooling of batteries. Management has determined that, due to an unforeseen change in the specifications of the battery, the assets that the advance payments referred to were no longer needed in the Group’s development of prototypes.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 Other operating income/expenses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0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9"/>
        </w:trPr>
        <w:tc>
          <w:tcPr>
            <w:tcW w:w="6040" w:type="dxa"/>
            <w:vAlign w:val="bottom"/>
          </w:tcPr>
          <w:p>
            <w:pPr>
              <w:spacing w:after="0"/>
              <w:rPr>
                <w:sz w:val="12"/>
                <w:szCs w:val="12"/>
                <w:color w:val="auto"/>
              </w:rPr>
            </w:pPr>
          </w:p>
        </w:tc>
        <w:tc>
          <w:tcPr>
            <w:tcW w:w="1000" w:type="dxa"/>
            <w:vAlign w:val="bottom"/>
            <w:tcBorders>
              <w:top w:val="single" w:sz="8" w:color="auto"/>
            </w:tcBorders>
            <w:gridSpan w:val="2"/>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30-Jun-22</w:t>
            </w:r>
          </w:p>
        </w:tc>
        <w:tc>
          <w:tcPr>
            <w:tcW w:w="840" w:type="dxa"/>
            <w:vAlign w:val="bottom"/>
            <w:tcBorders>
              <w:top w:val="single" w:sz="8" w:color="auto"/>
            </w:tcBorders>
          </w:tcPr>
          <w:p>
            <w:pPr>
              <w:jc w:val="right"/>
              <w:ind w:right="35"/>
              <w:spacing w:after="0" w:line="139" w:lineRule="exact"/>
              <w:rPr>
                <w:sz w:val="20"/>
                <w:szCs w:val="20"/>
                <w:color w:val="auto"/>
              </w:rPr>
            </w:pPr>
            <w:r>
              <w:rPr>
                <w:rFonts w:ascii="Times New Roman" w:cs="Times New Roman" w:eastAsia="Times New Roman" w:hAnsi="Times New Roman"/>
                <w:sz w:val="14"/>
                <w:szCs w:val="14"/>
                <w:b w:val="1"/>
                <w:bCs w:val="1"/>
                <w:color w:val="auto"/>
              </w:rPr>
              <w:t>30-Jun-21</w:t>
            </w:r>
          </w:p>
        </w:tc>
        <w:tc>
          <w:tcPr>
            <w:tcW w:w="160" w:type="dxa"/>
            <w:vAlign w:val="bottom"/>
          </w:tcPr>
          <w:p>
            <w:pPr>
              <w:spacing w:after="0"/>
              <w:rPr>
                <w:sz w:val="12"/>
                <w:szCs w:val="12"/>
                <w:color w:val="auto"/>
              </w:rPr>
            </w:pPr>
          </w:p>
        </w:tc>
        <w:tc>
          <w:tcPr>
            <w:tcW w:w="1020" w:type="dxa"/>
            <w:vAlign w:val="bottom"/>
            <w:tcBorders>
              <w:top w:val="single" w:sz="8" w:color="auto"/>
            </w:tcBorders>
            <w:gridSpan w:val="2"/>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30-Jun-22</w:t>
            </w:r>
          </w:p>
        </w:tc>
        <w:tc>
          <w:tcPr>
            <w:tcW w:w="860" w:type="dxa"/>
            <w:vAlign w:val="bottom"/>
            <w:tcBorders>
              <w:top w:val="single" w:sz="8" w:color="auto"/>
            </w:tcBorders>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rPr>
              <w:t>30-Jun-21</w:t>
            </w:r>
          </w:p>
        </w:tc>
      </w:tr>
      <w:tr>
        <w:trPr>
          <w:trHeight w:val="139"/>
        </w:trPr>
        <w:tc>
          <w:tcPr>
            <w:tcW w:w="60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5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60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Other operating income</w:t>
            </w: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974</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209</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1,850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370</w:t>
            </w:r>
          </w:p>
        </w:tc>
      </w:tr>
      <w:tr>
        <w:trPr>
          <w:trHeight w:val="212"/>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currency valuation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relating to other periods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2"/>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Renault ZOE</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2"/>
        </w:trPr>
        <w:tc>
          <w:tcPr>
            <w:tcW w:w="6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2"/>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 from currency valuation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60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939</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209</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1,753</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370</w:t>
            </w:r>
          </w:p>
        </w:tc>
      </w:tr>
    </w:tbl>
    <w:p>
      <w:pPr>
        <w:spacing w:after="0" w:line="194"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8"/>
          <w:szCs w:val="18"/>
          <w:color w:val="auto"/>
        </w:rPr>
        <w:t>The increase in other operating income/expenses (kEUR 1,753; June 30, 2021: kEUR 370) relates mainly to the currency valuation of cash and cash equivalents (kEUR 1,561; June 30,2021: kEUR 0) resulting from higher USD cash inflows due to equity raising activities, which coincided with strengthening of USD exchange rate to EURO.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 Interest and similar expenses</w:t>
      </w:r>
    </w:p>
    <w:p>
      <w:pPr>
        <w:spacing w:after="0" w:line="180" w:lineRule="exact"/>
        <w:rPr>
          <w:sz w:val="20"/>
          <w:szCs w:val="20"/>
          <w:color w:val="auto"/>
        </w:rPr>
      </w:pPr>
    </w:p>
    <w:p>
      <w:pPr>
        <w:ind w:right="200" w:firstLine="318"/>
        <w:spacing w:after="0" w:line="253" w:lineRule="auto"/>
        <w:rPr>
          <w:sz w:val="20"/>
          <w:szCs w:val="20"/>
          <w:color w:val="auto"/>
        </w:rPr>
      </w:pPr>
      <w:r>
        <w:rPr>
          <w:rFonts w:ascii="Times New Roman" w:cs="Times New Roman" w:eastAsia="Times New Roman" w:hAnsi="Times New Roman"/>
          <w:sz w:val="18"/>
          <w:szCs w:val="18"/>
          <w:color w:val="auto"/>
        </w:rPr>
        <w:t>Interest and similar expenses (kEUR 923; first half 2021: kEUR 2,645) result from interest expense from the net compounding effect on advance payments received from customers (kEUR 781; first half 2021: kEUR 806), long-term loans measured at amortized cost (kEUR 102; first half 2021: kEUR 155) and lease liabilities (kEUR 39; first half 2021: kEUR 23). In the first half of 2021, an additional amount of kEUR 1,661 resulted from the fair-value measurement of a mandatory convertible bond that was converted to equity in November 2021.</w:t>
      </w:r>
    </w:p>
    <w:p>
      <w:pPr>
        <w:spacing w:after="0" w:line="154" w:lineRule="exact"/>
        <w:rPr>
          <w:sz w:val="20"/>
          <w:szCs w:val="20"/>
          <w:color w:val="auto"/>
        </w:rPr>
      </w:pPr>
    </w:p>
    <w:p>
      <w:pPr>
        <w:ind w:right="6260" w:firstLine="7"/>
        <w:spacing w:after="0" w:line="447" w:lineRule="auto"/>
        <w:tabs>
          <w:tab w:leader="none" w:pos="318"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condensed balance sheet disclosures 7.1 Property, plant and equipment</w:t>
      </w: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movement in the net book value of property, plant and equipment for the six-month period ended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w:t>
      </w:r>
    </w:p>
    <w:p>
      <w:pPr>
        <w:sectPr>
          <w:pgSz w:w="11900" w:h="16838" w:orient="portrait"/>
          <w:cols w:equalWidth="0" w:num="1">
            <w:col w:w="9920"/>
          </w:cols>
          <w:pgMar w:left="980" w:top="506" w:right="999" w:bottom="1440" w:gutter="0" w:footer="0" w:header="0"/>
        </w:sectPr>
      </w:pPr>
    </w:p>
    <w:p>
      <w:pPr>
        <w:spacing w:after="0" w:line="165"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4958715</wp:posOffset>
            </wp:positionH>
            <wp:positionV relativeFrom="paragraph">
              <wp:posOffset>6350</wp:posOffset>
            </wp:positionV>
            <wp:extent cx="5981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899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680" w:space="360"/>
            <w:col w:w="88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8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as of January 01</w:t>
            </w: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1,484</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2,102</w:t>
            </w:r>
          </w:p>
        </w:tc>
      </w:tr>
      <w:tr>
        <w:trPr>
          <w:trHeight w:val="21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1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06"/>
        </w:trPr>
        <w:tc>
          <w:tcPr>
            <w:tcW w:w="78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as of June 30</w:t>
            </w:r>
          </w:p>
        </w:tc>
        <w:tc>
          <w:tcPr>
            <w:tcW w:w="9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25,359</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980</w:t>
            </w:r>
          </w:p>
        </w:tc>
      </w:tr>
    </w:tbl>
    <w:p>
      <w:pPr>
        <w:spacing w:after="0" w:line="194" w:lineRule="exact"/>
        <w:rPr>
          <w:sz w:val="20"/>
          <w:szCs w:val="20"/>
          <w:color w:val="auto"/>
        </w:rPr>
      </w:pPr>
    </w:p>
    <w:p>
      <w:pPr>
        <w:ind w:right="100" w:firstLine="318"/>
        <w:spacing w:after="0" w:line="260" w:lineRule="auto"/>
        <w:rPr>
          <w:sz w:val="20"/>
          <w:szCs w:val="20"/>
          <w:color w:val="auto"/>
        </w:rPr>
      </w:pPr>
      <w:r>
        <w:rPr>
          <w:rFonts w:ascii="Times New Roman" w:cs="Times New Roman" w:eastAsia="Times New Roman" w:hAnsi="Times New Roman"/>
          <w:sz w:val="18"/>
          <w:szCs w:val="18"/>
          <w:color w:val="auto"/>
        </w:rPr>
        <w:t>The additions mainly relate to capitalization of prepayments made for assets under construction including advance payments (kEUR 16,377) made to the contract manufacturer (VALMET) for the future production of Sions. The increase is associated with a preparation for serial production.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 Other current financial assets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below table displays information on financial instruments included in other current financial assets:</w:t>
      </w:r>
    </w:p>
    <w:p>
      <w:pPr>
        <w:sectPr>
          <w:pgSz w:w="11900" w:h="16838" w:orient="portrait"/>
          <w:cols w:equalWidth="0" w:num="1">
            <w:col w:w="9920"/>
          </w:cols>
          <w:pgMar w:left="980" w:top="506" w:right="999" w:bottom="1440" w:gutter="0" w:footer="0" w:header="0"/>
        </w:sectPr>
      </w:pPr>
    </w:p>
    <w:p>
      <w:pPr>
        <w:spacing w:after="0" w:line="19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6350</wp:posOffset>
            </wp:positionV>
            <wp:extent cx="6737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3735" cy="8255"/>
                    </a:xfrm>
                    <a:prstGeom prst="rect">
                      <a:avLst/>
                    </a:prstGeom>
                    <a:noFill/>
                  </pic:spPr>
                </pic:pic>
              </a:graphicData>
            </a:graphic>
          </wp:anchor>
        </w:drawing>
      </w: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13335</wp:posOffset>
            </wp:positionV>
            <wp:extent cx="6483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600" w:space="420"/>
            <w:col w:w="90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6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PayPal reserve</w:t>
            </w:r>
          </w:p>
        </w:tc>
        <w:tc>
          <w:tcPr>
            <w:tcW w:w="10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396</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6,000</w:t>
            </w:r>
          </w:p>
        </w:tc>
      </w:tr>
      <w:tr>
        <w:trPr>
          <w:trHeight w:val="21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payment providers and deposits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Debtor creditors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receivables (affiliated companies)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6"/>
        </w:trPr>
        <w:tc>
          <w:tcPr>
            <w:tcW w:w="7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963</w:t>
            </w:r>
          </w:p>
        </w:tc>
        <w:tc>
          <w:tcPr>
            <w:tcW w:w="1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6,233</w:t>
            </w:r>
          </w:p>
        </w:tc>
      </w:tr>
    </w:tbl>
    <w:p>
      <w:pPr>
        <w:spacing w:after="0" w:line="194" w:lineRule="exact"/>
        <w:rPr>
          <w:sz w:val="20"/>
          <w:szCs w:val="20"/>
          <w:color w:val="auto"/>
        </w:rPr>
      </w:pPr>
    </w:p>
    <w:p>
      <w:pPr>
        <w:ind w:right="420" w:firstLine="318"/>
        <w:spacing w:after="0" w:line="253" w:lineRule="auto"/>
        <w:rPr>
          <w:sz w:val="20"/>
          <w:szCs w:val="20"/>
          <w:color w:val="auto"/>
        </w:rPr>
      </w:pPr>
      <w:r>
        <w:rPr>
          <w:rFonts w:ascii="Times New Roman" w:cs="Times New Roman" w:eastAsia="Times New Roman" w:hAnsi="Times New Roman"/>
          <w:sz w:val="18"/>
          <w:szCs w:val="18"/>
          <w:color w:val="auto"/>
        </w:rPr>
        <w:t>The PayPal reserve in 2021 relates to the reclassification of the specific reserve imposed by PayPal in connection with the crowdfunding campaign from cash to other current financial assets. In the first quarter 2022, the reserve was released in the amount of kEUR 5,900 and transferred to the current bank account of Sono Group. In the second quarter 2022 the company received additional payments to the PayPal account which led to the increase of the PayPal reserve to kEUR 396. Sono Group expects a repayment of this amount within 12 months after the balance sheet date; therefore, the PayPal reserve is classified as current.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 Other current non-financial assets</w:t>
      </w:r>
    </w:p>
    <w:p>
      <w:pPr>
        <w:spacing w:after="0" w:line="180"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Other current non-financial assets as of June 30, 2022, (kEUR 15,367; December 31, 2021: kEUR 3,236) consist most significantly of prepayments made mainly for parts and the construction of the Sion prototype and contract manufacturer (kEUR 12,871; December 31, 2021: kEUR 669) and receivables for VAT and other taxes (kEUR 2,225; December 31, 2021: kEUR 2,069). The increase relates mainly to prepayments made to contract manufacturer in the amount of kEUR 5,323.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7.4 Equity</w:t>
      </w:r>
    </w:p>
    <w:p>
      <w:pPr>
        <w:spacing w:after="0" w:line="180"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7"/>
          <w:szCs w:val="17"/>
          <w:color w:val="auto"/>
        </w:rPr>
        <w:t>Total equity of Sono Group comprises subscribed capital, capital reserves, other reserves and accumulated deficit. The subscribed capital amounts to kEUR 9,390 (December 31, 2021: kEUR 8,735) and represents 84,507,641 (December 31, 2021: 73,577,641) fully paid-in member shares with a par value of EUR 0.06 (ordinary shares, December 31, 2021: EUR 0.06) and EUR 1.50 (high voting shares, December 31, 2021: EUR 1.50). Capital reserves include any amounts paid in by the owners that exceed the member shares’ par value. Other reserves include mainly effects from equity-settled stock-option plans. Accumulated deficit consists of losses from prior periods.</w:t>
      </w:r>
    </w:p>
    <w:p>
      <w:pPr>
        <w:spacing w:after="0" w:line="130" w:lineRule="exact"/>
        <w:rPr>
          <w:sz w:val="20"/>
          <w:szCs w:val="20"/>
          <w:color w:val="auto"/>
        </w:rPr>
      </w:pPr>
    </w:p>
    <w:p>
      <w:pPr>
        <w:ind w:right="180" w:firstLine="318"/>
        <w:spacing w:after="0" w:line="260" w:lineRule="auto"/>
        <w:rPr>
          <w:sz w:val="20"/>
          <w:szCs w:val="20"/>
          <w:color w:val="auto"/>
        </w:rPr>
      </w:pPr>
      <w:r>
        <w:rPr>
          <w:rFonts w:ascii="Times New Roman" w:cs="Times New Roman" w:eastAsia="Times New Roman" w:hAnsi="Times New Roman"/>
          <w:sz w:val="18"/>
          <w:szCs w:val="18"/>
          <w:color w:val="auto"/>
        </w:rPr>
        <w:t>Sono N.V. successfully completed a follow-on offering on May 3, 2022. The Company offered 10,000,000 ordinary shares with a par value of EUR 0.06 at a price of USD 4.00 each. Berenberg Capital Markets LLC, Cantor Fitzgerald &amp; Co., and B. Riley Securities, Inc. acted as underwriters for this offering. Craig-Hallum and Wedbush Securities acted as co-managers.</w:t>
      </w:r>
    </w:p>
    <w:p>
      <w:pPr>
        <w:spacing w:after="0" w:line="136" w:lineRule="exact"/>
        <w:rPr>
          <w:sz w:val="20"/>
          <w:szCs w:val="20"/>
          <w:color w:val="auto"/>
        </w:rPr>
      </w:pPr>
    </w:p>
    <w:p>
      <w:pPr>
        <w:ind w:right="20" w:firstLine="318"/>
        <w:spacing w:after="0" w:line="275" w:lineRule="auto"/>
        <w:rPr>
          <w:sz w:val="20"/>
          <w:szCs w:val="20"/>
          <w:color w:val="auto"/>
        </w:rPr>
      </w:pPr>
      <w:r>
        <w:rPr>
          <w:rFonts w:ascii="Times New Roman" w:cs="Times New Roman" w:eastAsia="Times New Roman" w:hAnsi="Times New Roman"/>
          <w:sz w:val="17"/>
          <w:szCs w:val="17"/>
          <w:color w:val="auto"/>
        </w:rPr>
        <w:t>The underwriters had an additional overallotment option of 15% of the offering (greenshoe option). In total, 10,930,000 shares have been sold, as the underwriters partially exercised their greenshoe option on May 11, 2022. In total, Sono Group raised kUSD 41,534 (kEUR 39,346) through the follow-on offering, after underwriting discounts and commissions. In accordance with IAS 32, further transaction costs of the follow-on offering were recognized directly in equity in an amount of kEUR 842 as a deduction to capital reserves.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 Advance payments received from customers</w:t>
      </w:r>
    </w:p>
    <w:p>
      <w:pPr>
        <w:sectPr>
          <w:pgSz w:w="11900" w:h="16838" w:orient="portrait"/>
          <w:cols w:equalWidth="0" w:num="1">
            <w:col w:w="9920"/>
          </w:cols>
          <w:pgMar w:left="980" w:top="506" w:right="999" w:bottom="1440" w:gutter="0" w:footer="0" w:header="0"/>
          <w:type w:val="continuous"/>
        </w:sectPr>
      </w:pPr>
    </w:p>
    <w:p>
      <w:pPr>
        <w:spacing w:after="0" w:line="18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6350</wp:posOffset>
            </wp:positionV>
            <wp:extent cx="5810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1025" cy="8255"/>
                    </a:xfrm>
                    <a:prstGeom prst="rect">
                      <a:avLst/>
                    </a:prstGeom>
                    <a:noFill/>
                  </pic:spPr>
                </pic:pic>
              </a:graphicData>
            </a:graphic>
          </wp:anchor>
        </w:drawing>
      </w: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6350</wp:posOffset>
            </wp:positionV>
            <wp:extent cx="5899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7720" w:space="340"/>
            <w:col w:w="1860"/>
          </w:cols>
          <w:pgMar w:left="980" w:top="506" w:right="999" w:bottom="1440" w:gutter="0" w:footer="0" w:header="0"/>
          <w:type w:val="continuous"/>
        </w:sectPr>
      </w:pPr>
    </w:p>
    <w:tbl>
      <w:tblPr>
        <w:tblLayout w:type="fixed"/>
        <w:tblInd w:w="1000" w:type="dxa"/>
        <w:tblCellMar>
          <w:top w:w="0" w:type="dxa"/>
          <w:left w:w="0" w:type="dxa"/>
          <w:bottom w:w="0" w:type="dxa"/>
          <w:right w:w="0" w:type="dxa"/>
        </w:tblCellMar>
      </w:tblPr>
      <w:tr>
        <w:trPr>
          <w:trHeight w:val="206"/>
        </w:trPr>
        <w:tc>
          <w:tcPr>
            <w:tcW w:w="58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customers</w:t>
            </w:r>
          </w:p>
        </w:tc>
        <w:tc>
          <w:tcPr>
            <w:tcW w:w="9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46,827</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44,756</w:t>
            </w:r>
          </w:p>
        </w:tc>
      </w:tr>
      <w:tr>
        <w:trPr>
          <w:trHeight w:val="206"/>
        </w:trPr>
        <w:tc>
          <w:tcPr>
            <w:tcW w:w="586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46,827</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44,756</w:t>
            </w:r>
          </w:p>
        </w:tc>
      </w:tr>
    </w:tbl>
    <w:p>
      <w:pPr>
        <w:spacing w:after="0" w:line="194"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Depending on the general terms and conditions, in some cases, a cancellation by the customer is possible in less than twelve months. Customers may provide their advance payments in several installments, the latest of which determines the applicable cancellation policy. As of June 30, 2022, for customers who made their latest installment on or before November 25, 2020, cancellation is possible at any time. For customers who made their latest installment later than November 25, 2020, but before November 3, 2021, cancellation is possible on July 1, 2023, or later. For customers who made their latest installment on or after</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color w:val="auto"/>
        </w:rPr>
        <w:t>November 3, 2021, cancellation is possible on January 1, 2024, or later. Deviating from these conditions, in November 2020, Sono Group approached all German-speaking customers that had made their latest installment during the Crowdfunding Campaign from December 1, 2019, until and including January 20, 2020, and asked them to accept a change in the terms and conditions to waive their cancellation right until December 31, 2022. Those customers who accepted the change may cancel their advance payment on January 1, 2023, or later.</w:t>
      </w:r>
    </w:p>
    <w:p>
      <w:pPr>
        <w:spacing w:after="0" w:line="125"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As of June 30, 2022, currently 26.2% of advance payments are cancelable and 54.4%, 13.6% and 5.8% will be cancelable beginning January 1, 2023, July 1, 2023, and January 1, 2024, respectively. The percentages calculated are based on the nominal values of the advance payments excluding IFRS adjustments (interest effect).</w:t>
      </w:r>
    </w:p>
    <w:p>
      <w:pPr>
        <w:spacing w:after="0" w:line="136" w:lineRule="exact"/>
        <w:rPr>
          <w:sz w:val="20"/>
          <w:szCs w:val="20"/>
          <w:color w:val="auto"/>
        </w:rPr>
      </w:pPr>
    </w:p>
    <w:p>
      <w:pPr>
        <w:ind w:right="260" w:firstLine="318"/>
        <w:spacing w:after="0" w:line="260" w:lineRule="auto"/>
        <w:rPr>
          <w:sz w:val="20"/>
          <w:szCs w:val="20"/>
          <w:color w:val="auto"/>
        </w:rPr>
      </w:pPr>
      <w:r>
        <w:rPr>
          <w:rFonts w:ascii="Times New Roman" w:cs="Times New Roman" w:eastAsia="Times New Roman" w:hAnsi="Times New Roman"/>
          <w:sz w:val="18"/>
          <w:szCs w:val="18"/>
          <w:color w:val="auto"/>
        </w:rPr>
        <w:t>As of December 31, 2021, 28% were cancelable, 58% will be cancelable from January 1, 2023, 13% will be cancelable from July 1, 2023, and 1% will be cancelable from January 1, 2024. The percentages calculated are based on the nominal values of the advance payments excluding IFRS adjustments (interest effect).</w:t>
      </w:r>
    </w:p>
    <w:p>
      <w:pPr>
        <w:spacing w:after="0" w:line="150"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Sono Group will recognize revenue from the satisfaction of these contract liabilities as vehicles are delivered (if not redeemed by customer prior to delivery).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the changes in the advance payments received from customers: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Repayment</w:t>
            </w: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 1, 2022</w:t>
            </w:r>
          </w:p>
        </w:tc>
        <w:tc>
          <w:tcPr>
            <w:tcW w:w="9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39"/>
        </w:trPr>
        <w:tc>
          <w:tcPr>
            <w:tcW w:w="45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45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customers</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44,756</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2,388</w:t>
            </w:r>
          </w:p>
        </w:tc>
        <w:tc>
          <w:tcPr>
            <w:tcW w:w="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(1,098)</w:t>
            </w: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781</w:t>
            </w:r>
          </w:p>
        </w:tc>
        <w:tc>
          <w:tcPr>
            <w:tcW w:w="1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46,827</w:t>
            </w: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44,756</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2,388</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(1,098)</w:t>
            </w: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46,827</w:t>
            </w:r>
          </w:p>
        </w:tc>
        <w:tc>
          <w:tcPr>
            <w:tcW w:w="0" w:type="dxa"/>
            <w:vAlign w:val="bottom"/>
          </w:tcPr>
          <w:p>
            <w:pPr>
              <w:spacing w:after="0"/>
              <w:rPr>
                <w:sz w:val="1"/>
                <w:szCs w:val="1"/>
                <w:color w:val="auto"/>
              </w:rPr>
            </w:pPr>
          </w:p>
        </w:tc>
      </w:tr>
      <w:tr>
        <w:trPr>
          <w:trHeight w:val="353"/>
        </w:trPr>
        <w:tc>
          <w:tcPr>
            <w:tcW w:w="454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Repayment</w:t>
            </w: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 1, 2021</w:t>
            </w:r>
          </w:p>
        </w:tc>
        <w:tc>
          <w:tcPr>
            <w:tcW w:w="9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39"/>
        </w:trPr>
        <w:tc>
          <w:tcPr>
            <w:tcW w:w="45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45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customers</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38,972</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1,403</w:t>
            </w:r>
          </w:p>
        </w:tc>
        <w:tc>
          <w:tcPr>
            <w:tcW w:w="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806</w:t>
            </w:r>
          </w:p>
        </w:tc>
        <w:tc>
          <w:tcPr>
            <w:tcW w:w="1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40,693</w:t>
            </w: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38,972</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1,403</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(488)</w:t>
            </w: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806</w:t>
            </w:r>
          </w:p>
        </w:tc>
        <w:tc>
          <w:tcPr>
            <w:tcW w:w="18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40,693</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 Financial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financial liabilities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details on items included in other noncurrent financial liabilities:</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 31, 2021</w:t>
            </w:r>
          </w:p>
        </w:tc>
      </w:tr>
      <w:tr>
        <w:trPr>
          <w:trHeight w:val="139"/>
        </w:trPr>
        <w:tc>
          <w:tcPr>
            <w:tcW w:w="56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5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3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5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Loans and participation rights</w:t>
            </w:r>
          </w:p>
        </w:tc>
        <w:tc>
          <w:tcPr>
            <w:tcW w:w="10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3,740</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3,718</w:t>
            </w:r>
          </w:p>
        </w:tc>
      </w:tr>
      <w:tr>
        <w:trPr>
          <w:trHeight w:val="212"/>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06"/>
        </w:trPr>
        <w:tc>
          <w:tcPr>
            <w:tcW w:w="56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6,146</w:t>
            </w: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6,353</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 Other non-financial liabilities</w:t>
      </w:r>
    </w:p>
    <w:p>
      <w:pPr>
        <w:spacing w:after="0" w:line="180"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 other non-current non-financial liabilities as of June 30, 2022 (kEUR 469; December 31, 2021: kEUR -) relate to government grants for long-term projects. Sono Group N.V. has received a grant from the European Climate, Infrastructure and Environmental Executive Agency (CINEA) for the development of electric vehicles and smart charging infrastructure. SCALE will enable and facilitate the mass deployment of electric vehicles and the accompanying smart charging infrastructure. Sono Group N.V. has received pre-financing, the purpose of which is to provide the beneficiary with a float. Due to the grant conditions and duration of the project the pre financing is classified as non-current liability.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7.8 Trade and other payables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below table displays details on items included in trade and other payables:</w:t>
      </w:r>
    </w:p>
    <w:p>
      <w:pPr>
        <w:sectPr>
          <w:pgSz w:w="11900" w:h="16838" w:orient="portrait"/>
          <w:cols w:equalWidth="0" w:num="1">
            <w:col w:w="9920"/>
          </w:cols>
          <w:pgMar w:left="980" w:top="506" w:right="999" w:bottom="1440" w:gutter="0" w:footer="0" w:header="0"/>
        </w:sectPr>
      </w:pPr>
    </w:p>
    <w:p>
      <w:pPr>
        <w:spacing w:after="0" w:line="19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6350</wp:posOffset>
            </wp:positionV>
            <wp:extent cx="5727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ind w:left="724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u w:val="single" w:color="auto"/>
          <w:color w:val="auto"/>
        </w:rPr>
        <w:t>Dec. 31, 2021*</w:t>
      </w:r>
    </w:p>
    <w:p>
      <w:pPr>
        <w:spacing w:after="0" w:line="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7800" w:space="240"/>
            <w:col w:w="188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00" w:type="dxa"/>
            <w:vAlign w:val="bottom"/>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Trade payables</w:t>
            </w:r>
          </w:p>
        </w:tc>
        <w:tc>
          <w:tcPr>
            <w:tcW w:w="9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8,670</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6,866</w:t>
            </w:r>
          </w:p>
        </w:tc>
      </w:tr>
      <w:tr>
        <w:trPr>
          <w:trHeight w:val="212"/>
        </w:trPr>
        <w:tc>
          <w:tcPr>
            <w:tcW w:w="10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12"/>
        </w:trPr>
        <w:tc>
          <w:tcPr>
            <w:tcW w:w="10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15,874</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7,867</w:t>
            </w:r>
          </w:p>
        </w:tc>
      </w:tr>
      <w:tr>
        <w:trPr>
          <w:trHeight w:val="99"/>
        </w:trPr>
        <w:tc>
          <w:tcPr>
            <w:tcW w:w="10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74" w:lineRule="exact"/>
        <w:rPr>
          <w:sz w:val="20"/>
          <w:szCs w:val="20"/>
          <w:color w:val="auto"/>
        </w:rPr>
      </w:pPr>
    </w:p>
    <w:p>
      <w:pPr>
        <w:ind w:left="320" w:hanging="313"/>
        <w:spacing w:after="0"/>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reclassified from prior period financial statements to conform to the current presentation.</w:t>
      </w:r>
    </w:p>
    <w:p>
      <w:pPr>
        <w:spacing w:after="0" w:line="178"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Contract liabilities represent advance payments received from solar customers, for which performance obligation has not yet been satisfied. Sono Group N.V. expects to recognize revenue within next 12 months; therefore, it is classified as a current liability. Trade and other payables increased in line with purchases mainly in the area of Research and Development associated with the deployment of SVC3 prototype.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7.9 Current other liabilities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details on items included in other current liabilities:</w:t>
      </w:r>
    </w:p>
    <w:p>
      <w:pPr>
        <w:sectPr>
          <w:pgSz w:w="11900" w:h="16838" w:orient="portrait"/>
          <w:cols w:equalWidth="0" w:num="1">
            <w:col w:w="9920"/>
          </w:cols>
          <w:pgMar w:left="980" w:top="506" w:right="999" w:bottom="1440" w:gutter="0" w:footer="0" w:header="0"/>
          <w:type w:val="continuous"/>
        </w:sectPr>
      </w:pPr>
    </w:p>
    <w:p>
      <w:pPr>
        <w:spacing w:after="0" w:line="185"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6350</wp:posOffset>
            </wp:positionV>
            <wp:extent cx="6737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3735" cy="8255"/>
                    </a:xfrm>
                    <a:prstGeom prst="rect">
                      <a:avLst/>
                    </a:prstGeom>
                    <a:noFill/>
                  </pic:spPr>
                </pic:pic>
              </a:graphicData>
            </a:graphic>
          </wp:anchor>
        </w:drawing>
      </w: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6350</wp:posOffset>
            </wp:positionV>
            <wp:extent cx="7073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480" w:space="440"/>
            <w:col w:w="100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540" w:type="dxa"/>
            <w:vAlign w:val="bottom"/>
            <w:tcBorders>
              <w:top w:val="single" w:sz="8" w:color="CCEEFF"/>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Accruals and deferrals</w:t>
            </w:r>
          </w:p>
        </w:tc>
        <w:tc>
          <w:tcPr>
            <w:tcW w:w="10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1,635</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1,271</w:t>
            </w:r>
          </w:p>
        </w:tc>
      </w:tr>
      <w:tr>
        <w:trPr>
          <w:trHeight w:val="21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tax liabilities (wage and church tax)</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2"/>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liabilities (taxes and interest)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employee benefit liabilities (incl. social security)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2"/>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other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25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2,280</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2,207</w:t>
            </w:r>
          </w:p>
        </w:tc>
      </w:tr>
      <w:tr>
        <w:trPr>
          <w:trHeight w:val="99"/>
        </w:trPr>
        <w:tc>
          <w:tcPr>
            <w:tcW w:w="250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r>
    </w:tbl>
    <w:p>
      <w:pPr>
        <w:spacing w:after="0" w:line="74" w:lineRule="exact"/>
        <w:rPr>
          <w:sz w:val="20"/>
          <w:szCs w:val="20"/>
          <w:color w:val="auto"/>
        </w:rPr>
      </w:pPr>
    </w:p>
    <w:p>
      <w:pPr>
        <w:ind w:left="320" w:hanging="313"/>
        <w:spacing w:after="0"/>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reclassified from prior period financial statements to conform to the current presentation.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7.10 Provisions</w:t>
      </w:r>
    </w:p>
    <w:p>
      <w:pPr>
        <w:spacing w:after="0" w:line="180"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current provisions as of June 30, 2022 (kEUR 468; December 31, 2021: kEUR 2,202) mainly relate to onerous contracts and to a legal case with an employee. The decline of the current provisions in comparison to December 31, 2021 mainly relates to lower provisions for services to prepare consolidated annual financial statements in accordance with IFRS and services provided by our independent auditor (kEUR 37; December 31, 2021: kEUR 2,137).</w:t>
      </w:r>
    </w:p>
    <w:p>
      <w:pPr>
        <w:spacing w:after="0" w:line="142"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In February 2022, a former employee filed a claim in court against Sono Motors GmbH. The former employee asserts that the termination of his employment relationship by us was not justified and seeks re-employment. In May 2022, the former employee expanded the claims to recover certain benefits, which he claims to have a value of EUR 14.2 million. We believe this claim to be without merit and will defend ourselves vigorously against these claims.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7.11 Contingencies</w:t>
      </w:r>
    </w:p>
    <w:p>
      <w:pPr>
        <w:spacing w:after="0" w:line="180"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In the first half of 2021, we informed our designated battery supplier that we would not purchase the battery from this supplier. The supplier has indicated that it believes it is entitled to compensation under its contract with us. In June 2022, the supplier filed an action for declaratory judgment with the Regional Court Stuttgart. The supplier currently indicates its damages to be at least kEUR 23,408. We continue to believe this claim to be without merit and will defend ourselves vigorously.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20" w:hanging="313"/>
        <w:spacing w:after="0"/>
        <w:tabs>
          <w:tab w:leader="none" w:pos="3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financial instruments and risk management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displays information on fair value measurements, carrying amounts and categorization of financial instruments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80" w:type="dxa"/>
            <w:vAlign w:val="bottom"/>
            <w:tcBorders>
              <w:bottom w:val="single" w:sz="8" w:color="auto"/>
            </w:tcBorders>
          </w:tcPr>
          <w:p>
            <w:pPr>
              <w:spacing w:after="0"/>
              <w:rPr>
                <w:sz w:val="14"/>
                <w:szCs w:val="14"/>
                <w:color w:val="auto"/>
              </w:rPr>
            </w:pPr>
          </w:p>
        </w:tc>
      </w:tr>
      <w:tr>
        <w:trPr>
          <w:trHeight w:val="141"/>
        </w:trPr>
        <w:tc>
          <w:tcPr>
            <w:tcW w:w="2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category</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5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kEUR</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(IFRS 9)</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06"/>
        </w:trPr>
        <w:tc>
          <w:tcPr>
            <w:tcW w:w="5720" w:type="dxa"/>
            <w:vAlign w:val="bottom"/>
            <w:tcBorders>
              <w:top w:val="single" w:sz="8" w:color="auto"/>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Noncurrent 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financial assets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5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Paypal reserve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Receivables from payment providers and deposits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Debtor creditors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trade receivables (affiliated companies)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5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financial liabilities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FLAC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financial liabilities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FLAC</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FLAC</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FLAC</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6"/>
        </w:trPr>
        <w:tc>
          <w:tcPr>
            <w:tcW w:w="5880" w:type="dxa"/>
            <w:vAlign w:val="bottom"/>
            <w:gridSpan w:val="3"/>
          </w:tcPr>
          <w:p>
            <w:pPr>
              <w:spacing w:after="0" w:line="206" w:lineRule="exact"/>
              <w:rPr>
                <w:sz w:val="20"/>
                <w:szCs w:val="20"/>
                <w:color w:val="auto"/>
              </w:rPr>
            </w:pPr>
            <w:r>
              <w:rPr>
                <w:rFonts w:ascii="Times New Roman" w:cs="Times New Roman" w:eastAsia="Times New Roman" w:hAnsi="Times New Roman"/>
                <w:sz w:val="18"/>
                <w:szCs w:val="18"/>
                <w:color w:val="auto"/>
              </w:rPr>
              <w:t>Contract liabilities</w:t>
            </w:r>
          </w:p>
        </w:tc>
        <w:tc>
          <w:tcPr>
            <w:tcW w:w="13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6"/>
        </w:trPr>
        <w:tc>
          <w:tcPr>
            <w:tcW w:w="250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74" w:lineRule="exact"/>
        <w:rPr>
          <w:sz w:val="20"/>
          <w:szCs w:val="20"/>
          <w:color w:val="auto"/>
        </w:rPr>
      </w:pPr>
    </w:p>
    <w:p>
      <w:pPr>
        <w:ind w:left="320" w:hanging="313"/>
        <w:spacing w:after="0"/>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approximately equals the fair value, thus no separate fair value disclosure is needed according to IFRS 7.29</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60" w:type="dxa"/>
            <w:vAlign w:val="bottom"/>
            <w:tcBorders>
              <w:bottom w:val="single" w:sz="8" w:color="auto"/>
            </w:tcBorders>
          </w:tcPr>
          <w:p>
            <w:pPr>
              <w:spacing w:after="0"/>
              <w:rPr>
                <w:sz w:val="14"/>
                <w:szCs w:val="14"/>
                <w:color w:val="auto"/>
              </w:rPr>
            </w:pPr>
          </w:p>
        </w:tc>
      </w:tr>
      <w:tr>
        <w:trPr>
          <w:trHeight w:val="141"/>
        </w:trPr>
        <w:tc>
          <w:tcPr>
            <w:tcW w:w="2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category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5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kEUR</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(IFRS 9)</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06"/>
        </w:trPr>
        <w:tc>
          <w:tcPr>
            <w:tcW w:w="5720" w:type="dxa"/>
            <w:vAlign w:val="bottom"/>
            <w:tcBorders>
              <w:top w:val="single" w:sz="8" w:color="auto"/>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Noncurrent 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financial assets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2"/>
        </w:trPr>
        <w:tc>
          <w:tcPr>
            <w:tcW w:w="5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Paypal reserve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from payment providers and deposits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Debtor creditors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 trade receivables (affiliated companies)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132,939</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financial liabilities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FLAC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financial liabilities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FLAC</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FVTPL</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FLAC</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6"/>
        </w:trPr>
        <w:tc>
          <w:tcPr>
            <w:tcW w:w="5880" w:type="dxa"/>
            <w:vAlign w:val="bottom"/>
            <w:tcBorders>
              <w:top w:val="single" w:sz="8" w:color="CCEEFF"/>
            </w:tcBorders>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Other payables</w:t>
            </w:r>
          </w:p>
        </w:tc>
        <w:tc>
          <w:tcPr>
            <w:tcW w:w="13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1,001</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FLAC</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400"/>
              <w:spacing w:after="0" w:line="206" w:lineRule="exact"/>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n/a</w:t>
            </w:r>
          </w:p>
        </w:tc>
      </w:tr>
      <w:tr>
        <w:trPr>
          <w:trHeight w:val="99"/>
        </w:trPr>
        <w:tc>
          <w:tcPr>
            <w:tcW w:w="250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74" w:lineRule="exact"/>
        <w:rPr>
          <w:sz w:val="20"/>
          <w:szCs w:val="20"/>
          <w:color w:val="auto"/>
        </w:rPr>
      </w:pPr>
    </w:p>
    <w:p>
      <w:pPr>
        <w:ind w:left="320" w:hanging="313"/>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approximately equals the fair value, thus no separate fair value disclosure is needed according to IFRS 7.29</w:t>
      </w:r>
    </w:p>
    <w:p>
      <w:pPr>
        <w:spacing w:after="0" w:line="218" w:lineRule="exact"/>
        <w:rPr>
          <w:sz w:val="20"/>
          <w:szCs w:val="20"/>
          <w:color w:val="auto"/>
        </w:rPr>
      </w:pPr>
    </w:p>
    <w:p>
      <w:pPr>
        <w:ind w:right="200" w:firstLine="318"/>
        <w:spacing w:after="0" w:line="260" w:lineRule="auto"/>
        <w:rPr>
          <w:sz w:val="20"/>
          <w:szCs w:val="20"/>
          <w:color w:val="auto"/>
        </w:rPr>
      </w:pPr>
      <w:r>
        <w:rPr>
          <w:rFonts w:ascii="Times New Roman" w:cs="Times New Roman" w:eastAsia="Times New Roman" w:hAnsi="Times New Roman"/>
          <w:sz w:val="18"/>
          <w:szCs w:val="18"/>
          <w:color w:val="auto"/>
        </w:rPr>
        <w:t>All financial assets and liabilities for which the fair value is measured or disclosed in the interim condensed consolidated financial statements are categorized according to the fair value hierarchy, described as follows, based on the lowest level input that is significant to the fair value measurement as a whole:</w:t>
      </w:r>
    </w:p>
    <w:p>
      <w:pPr>
        <w:spacing w:after="0" w:line="136" w:lineRule="exact"/>
        <w:rPr>
          <w:sz w:val="20"/>
          <w:szCs w:val="20"/>
          <w:color w:val="auto"/>
        </w:rPr>
      </w:pPr>
    </w:p>
    <w:p>
      <w:pPr>
        <w:ind w:left="680" w:hanging="328"/>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use quoted prices in active markets for identical assets or liabilities</w:t>
      </w:r>
    </w:p>
    <w:p>
      <w:pPr>
        <w:spacing w:after="0" w:line="17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inputs, other than quoted prices included in Level 1, which are directly or indirectly observable</w:t>
      </w:r>
    </w:p>
    <w:p>
      <w:pPr>
        <w:spacing w:after="0" w:line="190" w:lineRule="exact"/>
        <w:rPr>
          <w:rFonts w:ascii="Times New Roman" w:cs="Times New Roman" w:eastAsia="Times New Roman" w:hAnsi="Times New Roman"/>
          <w:sz w:val="18"/>
          <w:szCs w:val="18"/>
          <w:color w:val="auto"/>
        </w:rPr>
      </w:pPr>
    </w:p>
    <w:p>
      <w:pPr>
        <w:ind w:left="680" w:right="40" w:hanging="328"/>
        <w:spacing w:after="0" w:line="274" w:lineRule="auto"/>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and have values estimated by management based on market participant assumptions which are reasonably available</w:t>
      </w:r>
    </w:p>
    <w:p>
      <w:pPr>
        <w:spacing w:after="0" w:line="124"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Due to their short-term nature, the carrying amounts of the cash and cash equivalents and other current financial assets and liabilities approximate their fair value.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w:t>
      </w:r>
    </w:p>
    <w:p>
      <w:pPr>
        <w:spacing w:after="0" w:line="142"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In case of noncurrent financial assets, the counterparties are reputable financial institutions, thus credit risk has no significant influence on fair value, which leads to a classification as level 2 fair value.</w:t>
      </w:r>
    </w:p>
    <w:p>
      <w:pPr>
        <w:spacing w:after="0" w:line="13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As of June 30, 2022, Management has determined that the fair values of noncurrent financial liabilities at amortized cost are classified as level 3 as the credit rating is a non-observable input factor with significant influence on the fair value.</w:t>
      </w:r>
    </w:p>
    <w:p>
      <w:pPr>
        <w:spacing w:after="0" w:line="124"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finance department of Sono Group performs valuations including level 3 fair value measurements. In the reporting period, there are no level 3 fair value measurements.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8160" w:firstLine="7"/>
        <w:spacing w:after="0" w:line="447" w:lineRule="auto"/>
        <w:tabs>
          <w:tab w:leader="none" w:pos="31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disclosures 9.1 Earnings per share</w:t>
      </w: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by dividing earnings attributable to Sono N.V. shareholders by the weighted average number of ordinary and high voting shares outstanding during the reporting period. The high voting shares entitle the shareholders to additional voting rights, but not to higher dividend rights. Since Sono Group was in a loss position for all periods presented, basic earnings per share is the same as diluted earnings per share.</w:t>
      </w:r>
    </w:p>
    <w:p>
      <w:pPr>
        <w:spacing w:after="0" w:line="142"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The options granted (number of options granted: 2,283,740) under IFRS 2 have not been included in the determination of diluted earnings per share because their inclusion would be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Related parties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Related parties of Sono Group include the following persons as well as their close family members:</w:t>
      </w:r>
    </w:p>
    <w:p>
      <w:pPr>
        <w:spacing w:after="0" w:line="191" w:lineRule="exact"/>
        <w:rPr>
          <w:sz w:val="20"/>
          <w:szCs w:val="20"/>
          <w:color w:val="auto"/>
        </w:rPr>
      </w:pPr>
    </w:p>
    <w:p>
      <w:pPr>
        <w:ind w:left="680" w:hanging="328"/>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C-level Management</w:t>
      </w:r>
    </w:p>
    <w:p>
      <w:pPr>
        <w:spacing w:after="0" w:line="17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Board members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Further, related parties of Sono Group also include the following entities:</w:t>
      </w:r>
    </w:p>
    <w:p>
      <w:pPr>
        <w:spacing w:after="0" w:line="191" w:lineRule="exact"/>
        <w:rPr>
          <w:sz w:val="20"/>
          <w:szCs w:val="20"/>
          <w:color w:val="auto"/>
        </w:rPr>
      </w:pPr>
    </w:p>
    <w:p>
      <w:pPr>
        <w:ind w:left="680" w:hanging="328"/>
        <w:spacing w:after="0"/>
        <w:tabs>
          <w:tab w:leader="none" w:pos="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Management UG</w:t>
      </w:r>
    </w:p>
    <w:p>
      <w:pPr>
        <w:spacing w:after="0" w:line="17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Investment UG</w:t>
      </w:r>
    </w:p>
    <w:p>
      <w:pPr>
        <w:spacing w:after="0" w:line="178"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Sono N.V. is not controlled by any other entity, but controls Sono Motors GmbH as of June 30, 2022. The below table displays the compensation of key management personnel: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1"/>
        </w:trPr>
        <w:tc>
          <w:tcPr>
            <w:tcW w:w="73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39"/>
        </w:trPr>
        <w:tc>
          <w:tcPr>
            <w:tcW w:w="73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73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Short-term employee benefits</w:t>
            </w:r>
          </w:p>
        </w:tc>
        <w:tc>
          <w:tcPr>
            <w:tcW w:w="12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575</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370</w:t>
            </w:r>
          </w:p>
        </w:tc>
      </w:tr>
      <w:tr>
        <w:trPr>
          <w:trHeight w:val="212"/>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6"/>
        </w:trPr>
        <w:tc>
          <w:tcPr>
            <w:tcW w:w="73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compensation</w:t>
            </w:r>
          </w:p>
        </w:tc>
        <w:tc>
          <w:tcPr>
            <w:tcW w:w="12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1,504</w:t>
            </w:r>
          </w:p>
        </w:tc>
        <w:tc>
          <w:tcPr>
            <w:tcW w:w="2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1,535</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share-based payments as of June 30, 2022 relate to the CSOP (kEUR 439; June 30, 2021: kEUR 1,165) and to the share-based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program of the supervisory board RSU (kEUR 490; June 30, 2021: kEUR -).</w:t>
      </w:r>
    </w:p>
    <w:p>
      <w:pPr>
        <w:spacing w:after="0" w:line="158" w:lineRule="exact"/>
        <w:rPr>
          <w:sz w:val="20"/>
          <w:szCs w:val="20"/>
          <w:color w:val="auto"/>
        </w:rPr>
      </w:pPr>
    </w:p>
    <w:p>
      <w:pPr>
        <w:ind w:right="100" w:firstLine="318"/>
        <w:spacing w:after="0" w:line="282" w:lineRule="auto"/>
        <w:rPr>
          <w:sz w:val="20"/>
          <w:szCs w:val="20"/>
          <w:color w:val="auto"/>
        </w:rPr>
      </w:pPr>
      <w:r>
        <w:rPr>
          <w:rFonts w:ascii="Times New Roman" w:cs="Times New Roman" w:eastAsia="Times New Roman" w:hAnsi="Times New Roman"/>
          <w:sz w:val="17"/>
          <w:szCs w:val="17"/>
          <w:color w:val="auto"/>
        </w:rPr>
        <w:t>Since the establishment of the supervisory board in November 2021, the members have received share-based payments based on awarded restricted stock units (RSU) as part of their remuneration. Vested tranches of RSUs may be exercised at the option of Sono Group in cash or in the form of ordinary shares, therefore the RSUs are accounted for as equity-settled share-based payment transactions.</w:t>
      </w:r>
    </w:p>
    <w:p>
      <w:pPr>
        <w:spacing w:after="0" w:line="120"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illustrates the volume of the program, the weighted average fair value at measurement date as well as the total expense of the period and the corresponding increase in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6"/>
        </w:trPr>
        <w:tc>
          <w:tcPr>
            <w:tcW w:w="44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Number of RSU share options</w:t>
            </w:r>
          </w:p>
        </w:tc>
        <w:tc>
          <w:tcPr>
            <w:tcW w:w="4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168,337</w:t>
            </w:r>
          </w:p>
        </w:tc>
      </w:tr>
      <w:tr>
        <w:trPr>
          <w:trHeight w:val="21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at measurement date (EUR)</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1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of the period (kEUR)</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equity (kEUR)</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831"/>
        </w:trPr>
        <w:tc>
          <w:tcPr>
            <w:tcW w:w="4400" w:type="dxa"/>
            <w:vAlign w:val="bottom"/>
          </w:tcPr>
          <w:p>
            <w:pPr>
              <w:spacing w:after="0"/>
              <w:rPr>
                <w:sz w:val="24"/>
                <w:szCs w:val="24"/>
                <w:color w:val="auto"/>
              </w:rPr>
            </w:pPr>
          </w:p>
        </w:tc>
        <w:tc>
          <w:tcPr>
            <w:tcW w:w="5520" w:type="dxa"/>
            <w:vAlign w:val="bottom"/>
            <w:gridSpan w:val="2"/>
          </w:tcPr>
          <w:p>
            <w:pPr>
              <w:jc w:val="right"/>
              <w:ind w:right="4700"/>
              <w:spacing w:after="0"/>
              <w:rPr>
                <w:sz w:val="20"/>
                <w:szCs w:val="20"/>
                <w:color w:val="auto"/>
              </w:rPr>
            </w:pPr>
            <w:r>
              <w:rPr>
                <w:rFonts w:ascii="Times New Roman" w:cs="Times New Roman" w:eastAsia="Times New Roman" w:hAnsi="Times New Roman"/>
                <w:sz w:val="18"/>
                <w:szCs w:val="18"/>
                <w:color w:val="auto"/>
              </w:rPr>
              <w:t>F-17</w:t>
            </w:r>
          </w:p>
        </w:tc>
      </w:tr>
      <w:tr>
        <w:trPr>
          <w:trHeight w:val="536"/>
        </w:trPr>
        <w:tc>
          <w:tcPr>
            <w:tcW w:w="44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6"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displays loans and advance payments received from key management personnel and other related parties: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39"/>
        </w:trPr>
        <w:tc>
          <w:tcPr>
            <w:tcW w:w="2500" w:type="dxa"/>
            <w:vAlign w:val="bottom"/>
            <w:tcBorders>
              <w:bottom w:val="single" w:sz="8" w:color="CCEEFF"/>
            </w:tcBorders>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5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5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71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Loans from key management personnel (subordinated crowdfunding loan II)</w:t>
            </w:r>
          </w:p>
        </w:tc>
        <w:tc>
          <w:tcPr>
            <w:tcW w:w="12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r>
      <w:tr>
        <w:trPr>
          <w:trHeight w:val="21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250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r>
      <w:tr>
        <w:trPr>
          <w:trHeight w:val="206"/>
        </w:trPr>
        <w:tc>
          <w:tcPr>
            <w:tcW w:w="7180" w:type="dxa"/>
            <w:vAlign w:val="bottom"/>
            <w:tcBorders>
              <w:bottom w:val="single" w:sz="8" w:color="CCEEFF"/>
            </w:tcBorders>
            <w:gridSpan w:val="2"/>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key management personnel*</w:t>
            </w:r>
          </w:p>
        </w:tc>
        <w:tc>
          <w:tcPr>
            <w:tcW w:w="12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47</w:t>
            </w:r>
          </w:p>
        </w:tc>
      </w:tr>
      <w:tr>
        <w:trPr>
          <w:trHeight w:val="206"/>
        </w:trPr>
        <w:tc>
          <w:tcPr>
            <w:tcW w:w="71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49</w:t>
            </w:r>
          </w:p>
        </w:tc>
      </w:tr>
      <w:tr>
        <w:trPr>
          <w:trHeight w:val="99"/>
        </w:trPr>
        <w:tc>
          <w:tcPr>
            <w:tcW w:w="250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r>
    </w:tbl>
    <w:p>
      <w:pPr>
        <w:spacing w:after="0" w:line="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for which 10 Sono points have been granted</w:t>
      </w:r>
    </w:p>
    <w:p>
      <w:pPr>
        <w:spacing w:after="0" w:line="218" w:lineRule="exact"/>
        <w:rPr>
          <w:sz w:val="20"/>
          <w:szCs w:val="20"/>
          <w:color w:val="auto"/>
        </w:rPr>
      </w:pPr>
    </w:p>
    <w:p>
      <w:pPr>
        <w:ind w:right="320" w:firstLine="318"/>
        <w:spacing w:after="0" w:line="255" w:lineRule="auto"/>
        <w:rPr>
          <w:sz w:val="20"/>
          <w:szCs w:val="20"/>
          <w:color w:val="auto"/>
        </w:rPr>
      </w:pPr>
      <w:r>
        <w:rPr>
          <w:rFonts w:ascii="Times New Roman" w:cs="Times New Roman" w:eastAsia="Times New Roman" w:hAnsi="Times New Roman"/>
          <w:sz w:val="18"/>
          <w:szCs w:val="18"/>
          <w:color w:val="auto"/>
        </w:rPr>
        <w:t>The main shareholders of Sono Group N.V. have significant influence over Sono Motors Investment UG, Munich. Therefore, Sono Motors Investment UG is considered a related party. Sono Motors has received a loan amounting to kEUR 185 from Sono Motors Investment UG in 2019. The loan was due December 31, 2020, interest-paying at arm’s length (4 % p.a.) and unsecured. As of December 31, 2020, the loan had not been repaid as of the balance sheet date. Instead, it was paid back on January 5,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9.3 Subsequent events</w:t>
      </w:r>
    </w:p>
    <w:p>
      <w:pPr>
        <w:spacing w:after="0" w:line="180" w:lineRule="exact"/>
        <w:rPr>
          <w:sz w:val="20"/>
          <w:szCs w:val="20"/>
          <w:color w:val="auto"/>
        </w:rPr>
      </w:pPr>
    </w:p>
    <w:p>
      <w:pPr>
        <w:jc w:val="both"/>
        <w:ind w:right="320" w:firstLine="318"/>
        <w:spacing w:after="0" w:line="260" w:lineRule="auto"/>
        <w:rPr>
          <w:sz w:val="20"/>
          <w:szCs w:val="20"/>
          <w:color w:val="auto"/>
        </w:rPr>
      </w:pPr>
      <w:r>
        <w:rPr>
          <w:rFonts w:ascii="Times New Roman" w:cs="Times New Roman" w:eastAsia="Times New Roman" w:hAnsi="Times New Roman"/>
          <w:sz w:val="18"/>
          <w:szCs w:val="18"/>
          <w:color w:val="auto"/>
        </w:rPr>
        <w:t>From July 1, 2022 through September 6, 2022 and in accordance with the Ordinary Share Purchase Agreement from June 13, 2022 between the Company and Joh. Berenberg, Gossler &amp; Co. KG (the “Investor”) the Company sold to the Investor the total of 3,454,267 ordinary shares for the total gross proceeds of USD 10,126 thousand.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Supervisory Board and Shareholders of Sono Group N.V.</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8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Sono Group N.V. and its subsidiary (the “Company”) as of December 31, 2021 and 2020, and the related consolidated statements of income (loss), comprehensive income (loss), changes in equity and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as issued by the International Accounting Standards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93"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4.13.1 to the consolidated financial statements, the Company has incurred recurring losses since inception, expects to continue to generate operating losses for the foreseeable future and is dependent on additional financing to continue its development activities, commence serial production and meet repayment obligations for its advance payments received from customers and other financial obligations that raise substantial doubt about its ability to continue as a going concern. Management’s plans in regard to these matters are also described in Note 4.13.1. The consolidated financial statements do not include any adjustments that might result from the outcome of this uncertainty.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2"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right="160" w:firstLine="318"/>
        <w:spacing w:after="0" w:line="260"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Munich, Germany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19,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GmbH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Wirtschaftsprüfungsgesellschaft</w:t>
      </w:r>
    </w:p>
    <w:p>
      <w:pPr>
        <w:sectPr>
          <w:pgSz w:w="11900" w:h="16838" w:orient="portrait"/>
          <w:cols w:equalWidth="0" w:num="1">
            <w:col w:w="9900"/>
          </w:cols>
          <w:pgMar w:left="980" w:top="506" w:right="1019" w:bottom="1440" w:gutter="0" w:footer="0" w:header="0"/>
        </w:sect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Alexander Fiedler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Wirtschaftsprüfer</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(German Public Auditor)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ppa. Sylvia Eichler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Wirtschaftsprüferin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 Public Auditor)</w:t>
      </w:r>
    </w:p>
    <w:p>
      <w:pPr>
        <w:spacing w:after="0" w:line="200" w:lineRule="exact"/>
        <w:rPr>
          <w:sz w:val="20"/>
          <w:szCs w:val="20"/>
          <w:color w:val="auto"/>
        </w:rPr>
      </w:pPr>
    </w:p>
    <w:p>
      <w:pPr>
        <w:sectPr>
          <w:pgSz w:w="11900" w:h="16838" w:orient="portrait"/>
          <w:cols w:equalWidth="0" w:num="2">
            <w:col w:w="4540" w:space="720"/>
            <w:col w:w="4640"/>
          </w:cols>
          <w:pgMar w:left="980" w:top="506" w:right="101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2020.</w:t>
      </w:r>
    </w:p>
    <w:p>
      <w:pPr>
        <w:sectPr>
          <w:pgSz w:w="11900" w:h="16838" w:orient="portrait"/>
          <w:cols w:equalWidth="0" w:num="1">
            <w:col w:w="9900"/>
          </w:cols>
          <w:pgMar w:left="980" w:top="506"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4"/>
                <w:szCs w:val="14"/>
                <w:color w:val="auto"/>
              </w:rPr>
            </w:pPr>
          </w:p>
        </w:tc>
      </w:tr>
      <w:tr>
        <w:trPr>
          <w:trHeight w:val="139"/>
        </w:trPr>
        <w:tc>
          <w:tcPr>
            <w:tcW w:w="58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1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3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1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r>
      <w:tr>
        <w:trPr>
          <w:trHeight w:val="206"/>
        </w:trPr>
        <w:tc>
          <w:tcPr>
            <w:tcW w:w="58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6.1</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6"/>
        </w:trPr>
        <w:tc>
          <w:tcPr>
            <w:tcW w:w="58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Gross loss</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(42)</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r>
      <w:tr>
        <w:trPr>
          <w:trHeight w:val="206"/>
        </w:trPr>
        <w:tc>
          <w:tcPr>
            <w:tcW w:w="5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Cost of research and development</w:t>
            </w:r>
          </w:p>
        </w:tc>
        <w:tc>
          <w:tcPr>
            <w:tcW w:w="74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6.2</w:t>
            </w:r>
          </w:p>
        </w:tc>
        <w:tc>
          <w:tcPr>
            <w:tcW w:w="14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(40,609)</w:t>
            </w:r>
          </w:p>
        </w:tc>
        <w:tc>
          <w:tcPr>
            <w:tcW w:w="14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(30,469)</w:t>
            </w:r>
          </w:p>
        </w:tc>
        <w:tc>
          <w:tcPr>
            <w:tcW w:w="14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(4,937)</w:t>
            </w:r>
          </w:p>
        </w:tc>
        <w:tc>
          <w:tcPr>
            <w:tcW w:w="20" w:type="dxa"/>
            <w:vAlign w:val="bottom"/>
          </w:tcPr>
          <w:p>
            <w:pPr>
              <w:spacing w:after="0"/>
              <w:rPr>
                <w:sz w:val="17"/>
                <w:szCs w:val="17"/>
                <w:color w:val="auto"/>
              </w:rPr>
            </w:pPr>
          </w:p>
        </w:tc>
      </w:tr>
      <w:tr>
        <w:trPr>
          <w:trHeight w:val="21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 w:type="dxa"/>
            <w:vAlign w:val="bottom"/>
          </w:tcPr>
          <w:p>
            <w:pPr>
              <w:spacing w:after="0"/>
              <w:rPr>
                <w:sz w:val="18"/>
                <w:szCs w:val="18"/>
                <w:color w:val="auto"/>
              </w:rPr>
            </w:pPr>
          </w:p>
        </w:tc>
      </w:tr>
      <w:tr>
        <w:trPr>
          <w:trHeight w:val="21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(15,094)</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(14,404)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0" w:type="dxa"/>
            <w:vAlign w:val="bottom"/>
          </w:tcPr>
          <w:p>
            <w:pPr>
              <w:spacing w:after="0"/>
              <w:rPr>
                <w:sz w:val="18"/>
                <w:szCs w:val="18"/>
                <w:color w:val="auto"/>
              </w:rPr>
            </w:pPr>
          </w:p>
        </w:tc>
      </w:tr>
      <w:tr>
        <w:trPr>
          <w:trHeight w:val="21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r>
      <w:tr>
        <w:trPr>
          <w:trHeight w:val="21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on financial assets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6"/>
        </w:trPr>
        <w:tc>
          <w:tcPr>
            <w:tcW w:w="58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(59,154)</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(53,994)</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(9,269)</w:t>
            </w:r>
          </w:p>
        </w:tc>
        <w:tc>
          <w:tcPr>
            <w:tcW w:w="20" w:type="dxa"/>
            <w:vAlign w:val="bottom"/>
          </w:tcPr>
          <w:p>
            <w:pPr>
              <w:spacing w:after="0"/>
              <w:rPr>
                <w:sz w:val="17"/>
                <w:szCs w:val="17"/>
                <w:color w:val="auto"/>
              </w:rPr>
            </w:pPr>
          </w:p>
        </w:tc>
      </w:tr>
      <w:tr>
        <w:trPr>
          <w:trHeight w:val="206"/>
        </w:trPr>
        <w:tc>
          <w:tcPr>
            <w:tcW w:w="5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Interest and similar income</w:t>
            </w:r>
          </w:p>
        </w:tc>
        <w:tc>
          <w:tcPr>
            <w:tcW w:w="74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6.8</w:t>
            </w:r>
          </w:p>
        </w:tc>
        <w:tc>
          <w:tcPr>
            <w:tcW w:w="14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18"/>
                <w:szCs w:val="18"/>
                <w:color w:val="auto"/>
              </w:rPr>
            </w:pPr>
          </w:p>
        </w:tc>
      </w:tr>
      <w:tr>
        <w:trPr>
          <w:trHeight w:val="206"/>
        </w:trPr>
        <w:tc>
          <w:tcPr>
            <w:tcW w:w="580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Loss before tax</w:t>
            </w: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(63,935)</w:t>
            </w:r>
          </w:p>
        </w:tc>
        <w:tc>
          <w:tcPr>
            <w:tcW w:w="1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(56,032)</w:t>
            </w:r>
          </w:p>
        </w:tc>
        <w:tc>
          <w:tcPr>
            <w:tcW w:w="1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(9,971)</w:t>
            </w:r>
          </w:p>
        </w:tc>
        <w:tc>
          <w:tcPr>
            <w:tcW w:w="20" w:type="dxa"/>
            <w:vAlign w:val="bottom"/>
          </w:tcPr>
          <w:p>
            <w:pPr>
              <w:spacing w:after="0"/>
              <w:rPr>
                <w:sz w:val="17"/>
                <w:szCs w:val="17"/>
                <w:color w:val="auto"/>
              </w:rPr>
            </w:pPr>
          </w:p>
        </w:tc>
      </w:tr>
      <w:tr>
        <w:trPr>
          <w:trHeight w:val="206"/>
        </w:trPr>
        <w:tc>
          <w:tcPr>
            <w:tcW w:w="58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Taxes on income</w:t>
            </w:r>
          </w:p>
        </w:tc>
        <w:tc>
          <w:tcPr>
            <w:tcW w:w="740" w:type="dxa"/>
            <w:vAlign w:val="bottom"/>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5"/>
              </w:rPr>
              <w:t>6.10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6.10</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6"/>
        </w:trPr>
        <w:tc>
          <w:tcPr>
            <w:tcW w:w="58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Loss for the period</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(63,953)</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(56,032)</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(9,971)</w:t>
            </w:r>
          </w:p>
        </w:tc>
        <w:tc>
          <w:tcPr>
            <w:tcW w:w="20" w:type="dxa"/>
            <w:vAlign w:val="bottom"/>
          </w:tcPr>
          <w:p>
            <w:pPr>
              <w:spacing w:after="0"/>
              <w:rPr>
                <w:sz w:val="17"/>
                <w:szCs w:val="17"/>
                <w:color w:val="auto"/>
              </w:rPr>
            </w:pPr>
          </w:p>
        </w:tc>
      </w:tr>
      <w:tr>
        <w:trPr>
          <w:trHeight w:val="206"/>
        </w:trPr>
        <w:tc>
          <w:tcPr>
            <w:tcW w:w="580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Other comprehensive income (loss) that will not reclassified to profit or loss</w:t>
            </w: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06"/>
        </w:trPr>
        <w:tc>
          <w:tcPr>
            <w:tcW w:w="58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comprehensive loss for the period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(63,937)</w:t>
            </w:r>
          </w:p>
        </w:tc>
        <w:tc>
          <w:tcPr>
            <w:tcW w:w="14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(56,053)</w:t>
            </w: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(9,971)</w:t>
            </w:r>
          </w:p>
        </w:tc>
        <w:tc>
          <w:tcPr>
            <w:tcW w:w="20" w:type="dxa"/>
            <w:vAlign w:val="bottom"/>
          </w:tcPr>
          <w:p>
            <w:pPr>
              <w:spacing w:after="0"/>
              <w:rPr>
                <w:sz w:val="17"/>
                <w:szCs w:val="17"/>
                <w:color w:val="auto"/>
              </w:rPr>
            </w:pPr>
          </w:p>
        </w:tc>
      </w:tr>
      <w:tr>
        <w:trPr>
          <w:trHeight w:val="206"/>
        </w:trPr>
        <w:tc>
          <w:tcPr>
            <w:tcW w:w="5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in EUR</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Basic/diluted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(1.07)/(1.07)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(0.97)/(0.97)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(0.18)/(0.18)</w:t>
            </w:r>
          </w:p>
        </w:tc>
        <w:tc>
          <w:tcPr>
            <w:tcW w:w="20" w:type="dxa"/>
            <w:vAlign w:val="bottom"/>
          </w:tcPr>
          <w:p>
            <w:pPr>
              <w:spacing w:after="0"/>
              <w:rPr>
                <w:sz w:val="18"/>
                <w:szCs w:val="18"/>
                <w:color w:val="auto"/>
              </w:rPr>
            </w:pPr>
          </w:p>
        </w:tc>
      </w:tr>
      <w:tr>
        <w:trPr>
          <w:trHeight w:val="21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for calculation of earnings per share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Basic/diluted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59,836,824</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57,684,220</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56,860,720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2020</w:t>
            </w:r>
          </w:p>
        </w:tc>
      </w:tr>
      <w:tr>
        <w:trPr>
          <w:trHeight w:val="139"/>
        </w:trPr>
        <w:tc>
          <w:tcPr>
            <w:tcW w:w="66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1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1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r>
      <w:tr>
        <w:trPr>
          <w:trHeight w:val="206"/>
        </w:trPr>
        <w:tc>
          <w:tcPr>
            <w:tcW w:w="6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0" w:type="dxa"/>
            <w:vAlign w:val="bottom"/>
          </w:tcPr>
          <w:p>
            <w:pPr>
              <w:spacing w:after="0"/>
              <w:rPr>
                <w:sz w:val="18"/>
                <w:szCs w:val="18"/>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6"/>
        </w:trPr>
        <w:tc>
          <w:tcPr>
            <w:tcW w:w="66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4,888</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4,096</w:t>
            </w:r>
          </w:p>
        </w:tc>
        <w:tc>
          <w:tcPr>
            <w:tcW w:w="20" w:type="dxa"/>
            <w:vAlign w:val="bottom"/>
          </w:tcPr>
          <w:p>
            <w:pPr>
              <w:spacing w:after="0"/>
              <w:rPr>
                <w:sz w:val="17"/>
                <w:szCs w:val="17"/>
                <w:color w:val="auto"/>
              </w:rPr>
            </w:pPr>
          </w:p>
        </w:tc>
      </w:tr>
      <w:tr>
        <w:trPr>
          <w:trHeight w:val="206"/>
        </w:trPr>
        <w:tc>
          <w:tcPr>
            <w:tcW w:w="6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8"/>
                <w:szCs w:val="18"/>
                <w:color w:val="auto"/>
              </w:rPr>
            </w:pPr>
          </w:p>
        </w:tc>
      </w:tr>
      <w:tr>
        <w:trPr>
          <w:trHeight w:val="212"/>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132,939</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43,264</w:t>
            </w:r>
          </w:p>
        </w:tc>
        <w:tc>
          <w:tcPr>
            <w:tcW w:w="20" w:type="dxa"/>
            <w:vAlign w:val="bottom"/>
          </w:tcPr>
          <w:p>
            <w:pPr>
              <w:spacing w:after="0"/>
              <w:rPr>
                <w:sz w:val="18"/>
                <w:szCs w:val="18"/>
                <w:color w:val="auto"/>
              </w:rPr>
            </w:pPr>
          </w:p>
        </w:tc>
      </w:tr>
      <w:tr>
        <w:trPr>
          <w:trHeight w:val="206"/>
        </w:trPr>
        <w:tc>
          <w:tcPr>
            <w:tcW w:w="6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142,408</w:t>
            </w:r>
          </w:p>
        </w:tc>
        <w:tc>
          <w:tcPr>
            <w:tcW w:w="2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49,247</w:t>
            </w:r>
          </w:p>
        </w:tc>
        <w:tc>
          <w:tcPr>
            <w:tcW w:w="20" w:type="dxa"/>
            <w:vAlign w:val="bottom"/>
          </w:tcPr>
          <w:p>
            <w:pPr>
              <w:spacing w:after="0"/>
              <w:rPr>
                <w:sz w:val="17"/>
                <w:szCs w:val="17"/>
                <w:color w:val="auto"/>
              </w:rPr>
            </w:pPr>
          </w:p>
        </w:tc>
      </w:tr>
      <w:tr>
        <w:trPr>
          <w:trHeight w:val="206"/>
        </w:trPr>
        <w:tc>
          <w:tcPr>
            <w:tcW w:w="666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147,296</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53,343</w:t>
            </w:r>
          </w:p>
        </w:tc>
        <w:tc>
          <w:tcPr>
            <w:tcW w:w="20" w:type="dxa"/>
            <w:vAlign w:val="bottom"/>
          </w:tcPr>
          <w:p>
            <w:pPr>
              <w:spacing w:after="0"/>
              <w:rPr>
                <w:sz w:val="17"/>
                <w:szCs w:val="17"/>
                <w:color w:val="auto"/>
              </w:rPr>
            </w:pPr>
          </w:p>
        </w:tc>
      </w:tr>
      <w:tr>
        <w:trPr>
          <w:trHeight w:val="206"/>
        </w:trPr>
        <w:tc>
          <w:tcPr>
            <w:tcW w:w="6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20" w:type="dxa"/>
            <w:vAlign w:val="bottom"/>
          </w:tcPr>
          <w:p>
            <w:pPr>
              <w:spacing w:after="0"/>
              <w:rPr>
                <w:sz w:val="18"/>
                <w:szCs w:val="18"/>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221,785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71,629</w:t>
            </w: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(147,081)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(83,123)</w:t>
            </w:r>
          </w:p>
        </w:tc>
        <w:tc>
          <w:tcPr>
            <w:tcW w:w="20" w:type="dxa"/>
            <w:vAlign w:val="bottom"/>
          </w:tcPr>
          <w:p>
            <w:pPr>
              <w:spacing w:after="0"/>
              <w:rPr>
                <w:sz w:val="18"/>
                <w:szCs w:val="18"/>
                <w:color w:val="auto"/>
              </w:rPr>
            </w:pPr>
          </w:p>
        </w:tc>
      </w:tr>
      <w:tr>
        <w:trPr>
          <w:trHeight w:val="206"/>
        </w:trPr>
        <w:tc>
          <w:tcPr>
            <w:tcW w:w="66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83,439</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(5,026)</w:t>
            </w:r>
          </w:p>
        </w:tc>
        <w:tc>
          <w:tcPr>
            <w:tcW w:w="20" w:type="dxa"/>
            <w:vAlign w:val="bottom"/>
          </w:tcPr>
          <w:p>
            <w:pPr>
              <w:spacing w:after="0"/>
              <w:rPr>
                <w:sz w:val="17"/>
                <w:szCs w:val="17"/>
                <w:color w:val="auto"/>
              </w:rPr>
            </w:pPr>
          </w:p>
        </w:tc>
      </w:tr>
      <w:tr>
        <w:trPr>
          <w:trHeight w:val="206"/>
        </w:trPr>
        <w:tc>
          <w:tcPr>
            <w:tcW w:w="6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received from customers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38,972</w:t>
            </w: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0" w:type="dxa"/>
            <w:vAlign w:val="bottom"/>
          </w:tcPr>
          <w:p>
            <w:pPr>
              <w:spacing w:after="0"/>
              <w:rPr>
                <w:sz w:val="18"/>
                <w:szCs w:val="18"/>
                <w:color w:val="auto"/>
              </w:rPr>
            </w:pPr>
          </w:p>
        </w:tc>
      </w:tr>
      <w:tr>
        <w:trPr>
          <w:trHeight w:val="206"/>
        </w:trPr>
        <w:tc>
          <w:tcPr>
            <w:tcW w:w="66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51,109</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44,307</w:t>
            </w:r>
          </w:p>
        </w:tc>
        <w:tc>
          <w:tcPr>
            <w:tcW w:w="20" w:type="dxa"/>
            <w:vAlign w:val="bottom"/>
          </w:tcPr>
          <w:p>
            <w:pPr>
              <w:spacing w:after="0"/>
              <w:rPr>
                <w:sz w:val="17"/>
                <w:szCs w:val="17"/>
                <w:color w:val="auto"/>
              </w:rPr>
            </w:pPr>
          </w:p>
        </w:tc>
      </w:tr>
      <w:tr>
        <w:trPr>
          <w:trHeight w:val="206"/>
        </w:trPr>
        <w:tc>
          <w:tcPr>
            <w:tcW w:w="6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0" w:type="dxa"/>
            <w:vAlign w:val="bottom"/>
          </w:tcPr>
          <w:p>
            <w:pPr>
              <w:spacing w:after="0"/>
              <w:rPr>
                <w:sz w:val="18"/>
                <w:szCs w:val="18"/>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r>
      <w:tr>
        <w:trPr>
          <w:trHeight w:val="206"/>
        </w:trPr>
        <w:tc>
          <w:tcPr>
            <w:tcW w:w="66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12,748</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14,062</w:t>
            </w:r>
          </w:p>
        </w:tc>
        <w:tc>
          <w:tcPr>
            <w:tcW w:w="20" w:type="dxa"/>
            <w:vAlign w:val="bottom"/>
          </w:tcPr>
          <w:p>
            <w:pPr>
              <w:spacing w:after="0"/>
              <w:rPr>
                <w:sz w:val="17"/>
                <w:szCs w:val="17"/>
                <w:color w:val="auto"/>
              </w:rPr>
            </w:pPr>
          </w:p>
        </w:tc>
      </w:tr>
      <w:tr>
        <w:trPr>
          <w:trHeight w:val="206"/>
        </w:trPr>
        <w:tc>
          <w:tcPr>
            <w:tcW w:w="6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147,296</w:t>
            </w:r>
          </w:p>
        </w:tc>
        <w:tc>
          <w:tcPr>
            <w:tcW w:w="2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53,343</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9"/>
        </w:trPr>
        <w:tc>
          <w:tcPr>
            <w:tcW w:w="250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4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Equity on January 1, 2019</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3,302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(17,120)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equity*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tcBorders>
              <w:bottom w:val="single" w:sz="8" w:color="CCEEFF"/>
            </w:tcBorders>
            <w:gridSpan w:val="2"/>
          </w:tcPr>
          <w:p>
            <w:pPr>
              <w:spacing w:after="0" w:line="206" w:lineRule="exact"/>
              <w:rPr>
                <w:sz w:val="20"/>
                <w:szCs w:val="20"/>
                <w:color w:val="auto"/>
              </w:rPr>
            </w:pPr>
            <w:r>
              <w:rPr>
                <w:rFonts w:ascii="Times New Roman" w:cs="Times New Roman" w:eastAsia="Times New Roman" w:hAnsi="Times New Roman"/>
                <w:sz w:val="18"/>
                <w:szCs w:val="18"/>
                <w:color w:val="auto"/>
              </w:rPr>
              <w:t>Balance on December 31, 2019</w:t>
            </w:r>
          </w:p>
        </w:tc>
        <w:tc>
          <w:tcPr>
            <w:tcW w:w="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8,489</w:t>
            </w:r>
          </w:p>
        </w:tc>
        <w:tc>
          <w:tcPr>
            <w:tcW w:w="1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(27,091)</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(18,568)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Equity on January 1, 2020</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8,489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(27,091)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(18,568)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contribution of the GmbH shares into the N.V.</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split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high voting shares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increase**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agreement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Measurement Convertible Bond (OCI)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7.10.1</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Balance on December 31, 2020</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6,468</w:t>
            </w:r>
          </w:p>
        </w:tc>
        <w:tc>
          <w:tcPr>
            <w:tcW w:w="1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39,490</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32,139</w:t>
            </w:r>
          </w:p>
        </w:tc>
        <w:tc>
          <w:tcPr>
            <w:tcW w:w="1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(83,123)</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reserves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9"/>
        </w:trPr>
        <w:tc>
          <w:tcPr>
            <w:tcW w:w="250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4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Equity on January 1, 2021</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6,468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39,490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32,139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(83,123)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increase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Institutional investors***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Issue of bonus shares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(1,529)</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IPO****</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Measurement Convertible Bond (OCI)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7.10.1</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Bond (see note 7.8)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7.10.1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payment to owner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7.10.1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(63,953)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tcBorders>
              <w:top w:val="single" w:sz="8" w:color="CCEEFF"/>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on December 31, 2021</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8,735</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187,894</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33,891</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(147,080)</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83,439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50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right="4720" w:firstLine="7"/>
        <w:spacing w:after="0" w:line="257" w:lineRule="auto"/>
        <w:tabs>
          <w:tab w:leader="none" w:pos="38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kEUR 109 were deducted from capital reserve ** transaction costs of kEUR 2,192 were deducted from capital reserve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transaction costs of kEUR 17 were deducted from capital reserve</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transaction costs of kEUR 2,825 less deferred taxes of kEUR 18 were deducted from capital reserve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4"/>
                <w:szCs w:val="14"/>
                <w:color w:val="auto"/>
              </w:rPr>
            </w:pPr>
          </w:p>
        </w:tc>
      </w:tr>
      <w:tr>
        <w:trPr>
          <w:trHeight w:val="139"/>
        </w:trPr>
        <w:tc>
          <w:tcPr>
            <w:tcW w:w="62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r>
      <w:tr>
        <w:trPr>
          <w:trHeight w:val="206"/>
        </w:trPr>
        <w:tc>
          <w:tcPr>
            <w:tcW w:w="6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(63,953)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(56,032)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Expenses(+) for share-based payment transactions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provisions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other assets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(3,760)</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(5,766)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trade and other payables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advance payments received from customers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r>
      <w:tr>
        <w:trPr>
          <w:trHeight w:val="206"/>
        </w:trPr>
        <w:tc>
          <w:tcPr>
            <w:tcW w:w="62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(47,141)</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(1,186)</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(8,775)</w:t>
            </w:r>
          </w:p>
        </w:tc>
        <w:tc>
          <w:tcPr>
            <w:tcW w:w="20" w:type="dxa"/>
            <w:vAlign w:val="bottom"/>
          </w:tcPr>
          <w:p>
            <w:pPr>
              <w:spacing w:after="0"/>
              <w:rPr>
                <w:sz w:val="17"/>
                <w:szCs w:val="17"/>
                <w:color w:val="auto"/>
              </w:rPr>
            </w:pPr>
          </w:p>
        </w:tc>
      </w:tr>
      <w:tr>
        <w:trPr>
          <w:trHeight w:val="206"/>
        </w:trPr>
        <w:tc>
          <w:tcPr>
            <w:tcW w:w="62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tcPr>
          <w:p>
            <w:pPr>
              <w:spacing w:after="0"/>
              <w:rPr>
                <w:sz w:val="18"/>
                <w:szCs w:val="18"/>
                <w:color w:val="auto"/>
              </w:rPr>
            </w:pPr>
          </w:p>
        </w:tc>
      </w:tr>
      <w:tr>
        <w:trPr>
          <w:trHeight w:val="206"/>
        </w:trPr>
        <w:tc>
          <w:tcPr>
            <w:tcW w:w="62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(1,652)</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(42)</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(1,139)</w:t>
            </w:r>
          </w:p>
        </w:tc>
        <w:tc>
          <w:tcPr>
            <w:tcW w:w="20" w:type="dxa"/>
            <w:vAlign w:val="bottom"/>
          </w:tcPr>
          <w:p>
            <w:pPr>
              <w:spacing w:after="0"/>
              <w:rPr>
                <w:sz w:val="17"/>
                <w:szCs w:val="17"/>
                <w:color w:val="auto"/>
              </w:rPr>
            </w:pPr>
          </w:p>
        </w:tc>
      </w:tr>
      <w:tr>
        <w:trPr>
          <w:trHeight w:val="206"/>
        </w:trPr>
        <w:tc>
          <w:tcPr>
            <w:tcW w:w="62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issue of shares to institutional investors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shares to institutional investors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issue of shares in IPO</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(2,690)</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shares in IPO</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142,334</w:t>
            </w: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(2,187)</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principal portion of lease liabilities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r>
      <w:tr>
        <w:trPr>
          <w:trHeight w:val="206"/>
        </w:trPr>
        <w:tc>
          <w:tcPr>
            <w:tcW w:w="624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cash from financing activities</w:t>
            </w:r>
          </w:p>
        </w:tc>
        <w:tc>
          <w:tcPr>
            <w:tcW w:w="11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138,562</w:t>
            </w:r>
          </w:p>
        </w:tc>
        <w:tc>
          <w:tcPr>
            <w:tcW w:w="2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44,085</w:t>
            </w:r>
          </w:p>
        </w:tc>
        <w:tc>
          <w:tcPr>
            <w:tcW w:w="1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8,806</w:t>
            </w:r>
          </w:p>
        </w:tc>
        <w:tc>
          <w:tcPr>
            <w:tcW w:w="20" w:type="dxa"/>
            <w:vAlign w:val="bottom"/>
          </w:tcPr>
          <w:p>
            <w:pPr>
              <w:spacing w:after="0"/>
              <w:rPr>
                <w:sz w:val="17"/>
                <w:szCs w:val="17"/>
                <w:color w:val="auto"/>
              </w:rPr>
            </w:pPr>
          </w:p>
        </w:tc>
      </w:tr>
      <w:tr>
        <w:trPr>
          <w:trHeight w:val="206"/>
        </w:trPr>
        <w:tc>
          <w:tcPr>
            <w:tcW w:w="6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89,769</w:t>
            </w:r>
          </w:p>
        </w:tc>
        <w:tc>
          <w:tcPr>
            <w:tcW w:w="2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42,857</w:t>
            </w:r>
          </w:p>
        </w:tc>
        <w:tc>
          <w:tcPr>
            <w:tcW w:w="1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(1,108)</w:t>
            </w:r>
          </w:p>
        </w:tc>
        <w:tc>
          <w:tcPr>
            <w:tcW w:w="20" w:type="dxa"/>
            <w:vAlign w:val="bottom"/>
          </w:tcPr>
          <w:p>
            <w:pPr>
              <w:spacing w:after="0"/>
              <w:rPr>
                <w:sz w:val="17"/>
                <w:szCs w:val="17"/>
                <w:color w:val="auto"/>
              </w:rPr>
            </w:pPr>
          </w:p>
        </w:tc>
      </w:tr>
      <w:tr>
        <w:trPr>
          <w:trHeight w:val="206"/>
        </w:trPr>
        <w:tc>
          <w:tcPr>
            <w:tcW w:w="62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1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7"/>
                <w:szCs w:val="17"/>
                <w:color w:val="auto"/>
              </w:rPr>
            </w:pPr>
          </w:p>
        </w:tc>
        <w:tc>
          <w:tcPr>
            <w:tcW w:w="1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financial year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43,264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w:t>
            </w:r>
          </w:p>
        </w:tc>
        <w:tc>
          <w:tcPr>
            <w:tcW w:w="20" w:type="dxa"/>
            <w:vAlign w:val="bottom"/>
          </w:tcPr>
          <w:p>
            <w:pPr>
              <w:spacing w:after="0"/>
              <w:rPr>
                <w:sz w:val="18"/>
                <w:szCs w:val="18"/>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132,939</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43,264</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96" w:lineRule="exact"/>
        <w:rPr>
          <w:sz w:val="20"/>
          <w:szCs w:val="20"/>
          <w:color w:val="auto"/>
        </w:rPr>
      </w:pPr>
    </w:p>
    <w:p>
      <w:pPr>
        <w:ind w:left="320" w:hanging="313"/>
        <w:spacing w:after="0"/>
        <w:tabs>
          <w:tab w:leader="none" w:pos="3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0" w:lineRule="exact"/>
        <w:rPr>
          <w:sz w:val="20"/>
          <w:szCs w:val="20"/>
          <w:color w:val="auto"/>
        </w:rPr>
      </w:pPr>
    </w:p>
    <w:p>
      <w:pPr>
        <w:ind w:right="140" w:firstLine="318"/>
        <w:spacing w:after="0" w:line="253" w:lineRule="auto"/>
        <w:rPr>
          <w:sz w:val="20"/>
          <w:szCs w:val="20"/>
          <w:color w:val="auto"/>
        </w:rPr>
      </w:pPr>
      <w:r>
        <w:rPr>
          <w:rFonts w:ascii="Times New Roman" w:cs="Times New Roman" w:eastAsia="Times New Roman" w:hAnsi="Times New Roman"/>
          <w:sz w:val="18"/>
          <w:szCs w:val="18"/>
          <w:color w:val="auto"/>
        </w:rPr>
        <w:t>Sono Group N.V. (“Sono N.V.”) is registered in the business register (Netherlands Chamber of Commerce) and its corporate seat is in Amsterdam. The Company has its business exclusively in Germany as the management is located there and the business address is Waldmeisterstraße 76, 80935 Munich, Germany (trade register number: 80683568). Sono N.V.’s sole and wholly-owned subsidiary,</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Sono Motors GmbH (“Sono Motors”), is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at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Germany, under HRB 224131. Sono Motors’ registered headquarters is Waldmeisterstraße 76, 80935 Munich, Germany. Sono N.V. is the ultimate parent of the Group. Hereinafter, Sono N.V. and its consolidated subsidiary collectively are referred to as the “Sono Group” or the “Group”. Sono Group develops and plans to sell mainly electric vehicles with integrated solar panels and to license its solar technology to other Original Equipment Manufacturers (OEMs). The Group started business in January 2016 and expects to complete prototype testing in 2022 and start serial production in the second half of 2023.</w:t>
      </w:r>
    </w:p>
    <w:p>
      <w:pPr>
        <w:spacing w:after="0" w:line="188" w:lineRule="exact"/>
        <w:rPr>
          <w:sz w:val="20"/>
          <w:szCs w:val="20"/>
          <w:color w:val="auto"/>
        </w:rPr>
      </w:pPr>
    </w:p>
    <w:p>
      <w:pPr>
        <w:ind w:right="160" w:firstLine="318"/>
        <w:spacing w:after="0" w:line="267" w:lineRule="auto"/>
        <w:rPr>
          <w:sz w:val="20"/>
          <w:szCs w:val="20"/>
          <w:color w:val="auto"/>
        </w:rPr>
      </w:pPr>
      <w:r>
        <w:rPr>
          <w:rFonts w:ascii="Times New Roman" w:cs="Times New Roman" w:eastAsia="Times New Roman" w:hAnsi="Times New Roman"/>
          <w:sz w:val="17"/>
          <w:szCs w:val="17"/>
          <w:color w:val="auto"/>
        </w:rPr>
        <w:t>In November 2021, Sono N.V. successfully completed an IPO and is now listed on the Nasdaq Stock Market. The Company offered 10,000,000 ordinary shares with a par value of EUR 0.06 at a price of USD 15.00 each. In addition, the underwriters, Berenberg Capital Markets LLC and Craig-Hallum Capital Group LLC, were granted the opportunity to purchase 1,500,000 additional ordinary shares from Sono Group within 30 days of the IPO, provided that more than 10,000,000 ordinary shares were sold in the IPO (greenshoe option). The underwriting agreement was signed on November 16, 2021. Trading under the ticker symbol “SEV” commenced on November 17, 2021. All offered shares were sold and the underwriters exercised their greenshoe option in full. After underwriting discounts and commissions, Sono Group raised an amount of kUSD 160,425 through the IPO. The amount was received by the Group on November 19, 2021.</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details regarding equity transactions in 2021, please refer to Note 7.8 Equity.</w:t>
      </w:r>
    </w:p>
    <w:p>
      <w:pPr>
        <w:spacing w:after="0" w:line="216" w:lineRule="exact"/>
        <w:rPr>
          <w:sz w:val="20"/>
          <w:szCs w:val="20"/>
          <w:color w:val="auto"/>
        </w:rPr>
      </w:pPr>
    </w:p>
    <w:p>
      <w:pPr>
        <w:ind w:left="320" w:hanging="313"/>
        <w:spacing w:after="0"/>
        <w:tabs>
          <w:tab w:leader="none" w:pos="3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0" w:lineRule="exact"/>
        <w:rPr>
          <w:sz w:val="20"/>
          <w:szCs w:val="20"/>
          <w:color w:val="auto"/>
        </w:rPr>
      </w:pPr>
    </w:p>
    <w:p>
      <w:pPr>
        <w:ind w:right="160" w:firstLine="318"/>
        <w:spacing w:after="0" w:line="260" w:lineRule="auto"/>
        <w:rPr>
          <w:sz w:val="20"/>
          <w:szCs w:val="20"/>
          <w:color w:val="auto"/>
        </w:rPr>
      </w:pPr>
      <w:r>
        <w:rPr>
          <w:rFonts w:ascii="Times New Roman" w:cs="Times New Roman" w:eastAsia="Times New Roman" w:hAnsi="Times New Roman"/>
          <w:sz w:val="18"/>
          <w:szCs w:val="18"/>
          <w:color w:val="auto"/>
        </w:rPr>
        <w:t>The consolidated financial statements of Sono Group have been prepared in accordance with International Financial Reporting Standards (IFRS) as issued by the International Accounting Standards Board (IASB), and are presented in euro, which is also the Group’s functional currency. Unless otherwise stated, all amounts are presented in thousands of euros (“kEUR”).</w:t>
      </w:r>
    </w:p>
    <w:p>
      <w:pPr>
        <w:spacing w:after="0" w:line="17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2021, have been authorized by the management board for presentation to the shareholders on April 19, 2022.</w:t>
      </w:r>
    </w:p>
    <w:p>
      <w:pPr>
        <w:spacing w:after="0" w:line="164"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In 2020, Sono Group completed a legal reorganization. The reorganization was applied fully retroactively, so that the accounts reflect the respective carrying values. The earnings per share calculation has been adjusted as well for 2019. In 2021, Sono Group successfully completed an IPO. To prepare for the IPO, Sono Group issued bonus shares to existing shareholders. The earnings per share calculation has been adjusted to reflect the issue of bonus shares. The consolidated statement of changes in equity has not been adjusted for these two events but represents the legal status as of every balance sheet date.</w:t>
      </w:r>
    </w:p>
    <w:p>
      <w:pPr>
        <w:spacing w:after="0" w:line="18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prepared on a historical cost basis under the going concern assumption which contemplates the realization of assets and the settlement of liabilities and commitments in the normal course of business. The consolidated financial statements do not reflect any adjustments relating to the recoverability and classification of assets or the amounts and classification of liabilities that might be necessary if the Group is unable to continue as a going concern. In accordance with IAS 1.25, management identified material uncertainties related to events or conditions regarding Sono Group’s financing that raise substantial doubt upon its ability to continue as a going concern. For further details, we refer to note 4.13.1 Going concern.</w:t>
      </w:r>
    </w:p>
    <w:p>
      <w:pPr>
        <w:spacing w:after="0" w:line="187"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significant accounting policies adopted in the preparation of these consolidated financial statements are described below. These accounting policies have been consistently applied to all years presented.</w:t>
      </w:r>
    </w:p>
    <w:p>
      <w:pPr>
        <w:spacing w:after="0" w:line="164" w:lineRule="exact"/>
        <w:rPr>
          <w:sz w:val="20"/>
          <w:szCs w:val="20"/>
          <w:color w:val="auto"/>
        </w:rPr>
      </w:pPr>
    </w:p>
    <w:p>
      <w:pPr>
        <w:jc w:val="both"/>
        <w:ind w:right="240" w:firstLine="318"/>
        <w:spacing w:after="0" w:line="260"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the use of certain accounting estimates. The areas that require a higher degree of judgment or complexity, or areas where assumptions and estimates are significant to the consolidated financial statements, are disclosed below.</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figures shown are rounded, so minor discrepancies may arise from addition of these amounts.</w:t>
      </w:r>
    </w:p>
    <w:p>
      <w:pPr>
        <w:sectPr>
          <w:pgSz w:w="11900" w:h="16838" w:orient="portrait"/>
          <w:cols w:equalWidth="0" w:num="1">
            <w:col w:w="9900"/>
          </w:cols>
          <w:pgMar w:left="980" w:top="506" w:right="10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statements of income or loss were prepared using the cost of sales method.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issued but not yet effective</w:t>
      </w:r>
    </w:p>
    <w:p>
      <w:pPr>
        <w:spacing w:after="0" w:line="220" w:lineRule="exact"/>
        <w:rPr>
          <w:sz w:val="20"/>
          <w:szCs w:val="20"/>
          <w:color w:val="auto"/>
        </w:rPr>
      </w:pPr>
    </w:p>
    <w:p>
      <w:pPr>
        <w:ind w:right="120" w:firstLine="318"/>
        <w:spacing w:after="0" w:line="282" w:lineRule="auto"/>
        <w:rPr>
          <w:sz w:val="20"/>
          <w:szCs w:val="20"/>
          <w:color w:val="auto"/>
        </w:rPr>
      </w:pPr>
      <w:r>
        <w:rPr>
          <w:rFonts w:ascii="Times New Roman" w:cs="Times New Roman" w:eastAsia="Times New Roman" w:hAnsi="Times New Roman"/>
          <w:sz w:val="17"/>
          <w:szCs w:val="17"/>
          <w:color w:val="auto"/>
        </w:rPr>
        <w:t>Certain new accounting standards and interpretations have been published that are not mandatory for the consolidated financial statements as of December 31, 2021, and have not been early adopted by Sono Group. These standards are not expected to have a material impact on Sono Group’s consolidated financial statements in the current or future reporting periods and on foreseeable future transactions.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Mandatory for fiscal years</w:t>
            </w:r>
          </w:p>
        </w:tc>
      </w:tr>
      <w:tr>
        <w:trPr>
          <w:trHeight w:val="171"/>
        </w:trPr>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beginning on or after</w:t>
            </w:r>
          </w:p>
        </w:tc>
      </w:tr>
      <w:tr>
        <w:trPr>
          <w:trHeight w:val="206"/>
        </w:trPr>
        <w:tc>
          <w:tcPr>
            <w:tcW w:w="8220" w:type="dxa"/>
            <w:vAlign w:val="bottom"/>
            <w:tcBorders>
              <w:top w:val="single" w:sz="8" w:color="CCEEFF"/>
            </w:tcBorders>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Improvements to IFRSs 2018–2020</w:t>
            </w:r>
          </w:p>
        </w:tc>
        <w:tc>
          <w:tcPr>
            <w:tcW w:w="166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January 1, 2022</w:t>
            </w:r>
          </w:p>
        </w:tc>
        <w:tc>
          <w:tcPr>
            <w:tcW w:w="40" w:type="dxa"/>
            <w:vAlign w:val="bottom"/>
            <w:tcBorders>
              <w:top w:val="single" w:sz="8" w:color="CCEEFF"/>
            </w:tcBorders>
            <w:shd w:val="clear" w:color="auto" w:fill="CCEEFF"/>
          </w:tcPr>
          <w:p>
            <w:pPr>
              <w:spacing w:after="0"/>
              <w:rPr>
                <w:sz w:val="17"/>
                <w:szCs w:val="17"/>
                <w:color w:val="auto"/>
              </w:rPr>
            </w:pPr>
          </w:p>
        </w:tc>
      </w:tr>
      <w:tr>
        <w:trPr>
          <w:trHeight w:val="2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IFRS 3</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Reference to the Conceptual Framework</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2022</w:t>
            </w:r>
          </w:p>
        </w:tc>
      </w:tr>
      <w:tr>
        <w:trPr>
          <w:trHeight w:val="212"/>
        </w:trPr>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IAS 16</w:t>
            </w: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Proceeds before Intended Use</w:t>
            </w:r>
          </w:p>
        </w:tc>
        <w:tc>
          <w:tcPr>
            <w:tcW w:w="1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2022</w:t>
            </w:r>
          </w:p>
        </w:tc>
      </w:tr>
      <w:tr>
        <w:trPr>
          <w:trHeight w:val="2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IAS 37</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Onerous Contracts – Cost of Fulfilling a Contract</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2022</w:t>
            </w:r>
          </w:p>
        </w:tc>
      </w:tr>
      <w:tr>
        <w:trPr>
          <w:trHeight w:val="212"/>
        </w:trPr>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17 Insurance Contracts (including Amendments)</w:t>
            </w:r>
          </w:p>
        </w:tc>
        <w:tc>
          <w:tcPr>
            <w:tcW w:w="1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1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8"/>
              </w:rPr>
              <w:t>IAS 1</w:t>
            </w:r>
          </w:p>
        </w:tc>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(Amendment I) Classification of Liabilities as Current or Non-current and Deferral of Effective Date</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12"/>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IAS 1</w:t>
            </w:r>
          </w:p>
        </w:tc>
        <w:tc>
          <w:tcPr>
            <w:tcW w:w="7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(Amendment II) Disclosure of Accounting policies</w:t>
            </w:r>
          </w:p>
        </w:tc>
        <w:tc>
          <w:tcPr>
            <w:tcW w:w="1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1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8"/>
              </w:rPr>
              <w:t>IAS 8</w:t>
            </w:r>
          </w:p>
        </w:tc>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(Amendment) Definition of Accounting Estimates</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12"/>
        </w:trPr>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IAS 12</w:t>
            </w: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Deferred Tax related to Assets and Liabilities arising from a Single Transaction</w:t>
            </w:r>
          </w:p>
        </w:tc>
        <w:tc>
          <w:tcPr>
            <w:tcW w:w="1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32"/>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IFRS 17 (Amendment) Initial Application of IFRS 17 and IFRS 9 – Comparative Information</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1, 2023</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adopted in 2021</w:t>
      </w:r>
    </w:p>
    <w:p>
      <w:pPr>
        <w:spacing w:after="0" w:line="220"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8"/>
          <w:szCs w:val="18"/>
          <w:color w:val="auto"/>
        </w:rPr>
        <w:t>Certain new accounting standards and interpretations have been adopted and their application is mandatory for the first time in preparing the consolidated financial statements as of December 31, 2021. These standards did not have a material impact on Sono Group’s consolidated financial statements.</w:t>
      </w:r>
    </w:p>
    <w:p>
      <w:pPr>
        <w:spacing w:after="0" w:line="17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Amendments to IFRS 9, IAS 39, IFRS 7, IFRS 4 and IFRS 16 (Interest Rate Benchmark Reform Phase 2) provide temporary reliefs which address the financial reporting effects that arise when an interbank offered rate (IBOR) is replaced with an alternative nearly risk-free interest rate (RFR). The amendments include practical expedients with regards to the application of hedge accounting as well as new disclosure requirements. The Group is neither exposed to a direct risk from changes in alternative benchmark interest rates nor subject to changes in the valuation methodology or discount rates (indirect risk) as of December 31, 2021. Therefore, these amendments have no impact on the consolidated financial statements of the Group.</w:t>
      </w:r>
    </w:p>
    <w:p>
      <w:pPr>
        <w:spacing w:after="0" w:line="185" w:lineRule="exact"/>
        <w:rPr>
          <w:sz w:val="20"/>
          <w:szCs w:val="20"/>
          <w:color w:val="auto"/>
        </w:rPr>
      </w:pPr>
    </w:p>
    <w:p>
      <w:pPr>
        <w:ind w:left="320" w:hanging="313"/>
        <w:spacing w:after="0"/>
        <w:tabs>
          <w:tab w:leader="none" w:pos="3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reflect the assets, liabilities and results of operations of Sono N.V. and its sole and wholly-owned subsidiary Sono Motors, over which Sono N.V. has control. Control over an entity exists when Sono N.V. is exposed to, or has rights to, variable returns from its involvement with the entity and has the ability to affect those returns through its power to direct the activities of the entity. Controlled subsidiaries are fully consolidated from the date on which control is transferred to Sono N.V.</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fiscal year of both Group entities corresponds to the calendar year ending December 31.</w:t>
      </w:r>
    </w:p>
    <w:p>
      <w:pPr>
        <w:spacing w:after="0" w:line="218"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the Sono Group are eliminated upon consolidation.</w:t>
      </w:r>
    </w:p>
    <w:p>
      <w:pPr>
        <w:spacing w:after="0" w:line="164"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The assets and liabilities of both companies included in the consolidated financial statements are recognized in accordance with the uniform accounting policies used within the Sono Group.</w:t>
      </w:r>
    </w:p>
    <w:p>
      <w:pPr>
        <w:spacing w:after="0" w:line="164"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consolidation process involves adjusting the items in the separate financial statements of the parent and its subsidiary and presenting them as if they were those of a single economic entity. Intercompany profits or losses are eliminated in Group noncurrent assets. Deferred taxes, if any, are recognized for consolidation adjustments, and deferred tax assets and liabilities are offset where taxes are levied by the same tax authority and have the same maturity.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7300" w:firstLine="7"/>
        <w:spacing w:after="0" w:line="493" w:lineRule="auto"/>
        <w:tabs>
          <w:tab w:leader="none" w:pos="318"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4.1 Revenue</w:t>
      </w:r>
    </w:p>
    <w:p>
      <w:pPr>
        <w:spacing w:after="0" w:line="1" w:lineRule="exact"/>
        <w:rPr>
          <w:sz w:val="20"/>
          <w:szCs w:val="20"/>
          <w:color w:val="auto"/>
        </w:rPr>
      </w:pPr>
    </w:p>
    <w:p>
      <w:pPr>
        <w:jc w:val="both"/>
        <w:ind w:right="160" w:firstLine="318"/>
        <w:spacing w:after="0" w:line="282" w:lineRule="auto"/>
        <w:rPr>
          <w:sz w:val="20"/>
          <w:szCs w:val="20"/>
          <w:color w:val="auto"/>
        </w:rPr>
      </w:pPr>
      <w:r>
        <w:rPr>
          <w:rFonts w:ascii="Times New Roman" w:cs="Times New Roman" w:eastAsia="Times New Roman" w:hAnsi="Times New Roman"/>
          <w:sz w:val="17"/>
          <w:szCs w:val="17"/>
          <w:color w:val="auto"/>
        </w:rPr>
        <w:t>Sono Group recognizes revenues primarily from the integration of Sono Motors patented solar technology across other transportation platforms and from the Sono app, which provides an in-app booking and payment system and optional additional insurance. Sono Group expects to recognize revenues also from the sale of the Sion electrical vehicle after the start of production in the second half of 2023.</w:t>
      </w:r>
    </w:p>
    <w:p>
      <w:pPr>
        <w:spacing w:after="0" w:line="160"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Sales are recognized when control of the goods and services is transferred to the customer, being generally when the customer gains the ability to direct the use of the goods and services and obtains substantially all of the remaining benefits from them. The amount of revenue recognized equals the amount of consideration the Group expects to receive in exchange for the goods and services. Management has determined that Sono Group acts as a principal in all sales transactions because it has control over the goods and services before transferring control to customers.</w:t>
      </w:r>
    </w:p>
    <w:p>
      <w:pPr>
        <w:spacing w:after="0" w:line="182"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A receivable is recognized when the goods and services are delivered or are ready for use as this is the point in time that the consideration is unconditional because only the passage of time is required before payment is due. Goods and services transferred are accounted for as separate performance obligations if they are distinct, i.e., the customer can benefit from the goods or services on its own or together with other resources readily available to the customer and the promise to transfer the good or service is separately identifiable from other promises in the contract. Performance obligations may be satisfied over time or at a point in time. Performance obligations are satisfied over time when the customer simultaneously receives and consumes the benefits resulting from the Group’s performance as the Group performs, when the Group creates or enhances an asset while the customer controls it or when the Group’s performance does not create an asset with an alternative use to the Group and the Group has an enforceable right to payment for performance completed to date. For such performance obligations, the Group recognizes revenue in line with the progress towards complete satisfaction of the performance obligation. As the information required to measure directly and faithfully the output transferred to the customer to date is not readily available but the work required to satisfy the Group’s performance obligations usually has a direct relation to satisfaction progress, progress is measured based on the Group’s input in relation to the total amount of input the Group expects is necessary to fulfill the performance obligation, i.e., on a cost-to-cost basis. Performance obligations that are not satisfied over time are satisfied at a point in time. Such obligations are satisfied when the customer obtains control of the asset or service, i.e., the customer accepts delivery of the integrated asset or in-app services are ready for use by the customer.</w:t>
      </w:r>
    </w:p>
    <w:p>
      <w:pPr>
        <w:spacing w:after="0" w:line="188"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8"/>
          <w:szCs w:val="18"/>
          <w:color w:val="auto"/>
        </w:rPr>
        <w:t>Transaction prices do not include any variable amounts or significant financing components. Payment generally is due within 14 days after Sono Group has fulfilled its performance obligation. Regarding the treatment of advance payments from customers, please refer to note 4.8 Advance payments received from customers.</w:t>
      </w:r>
    </w:p>
    <w:p>
      <w:pPr>
        <w:spacing w:after="0" w:line="176" w:lineRule="exact"/>
        <w:rPr>
          <w:sz w:val="20"/>
          <w:szCs w:val="20"/>
          <w:color w:val="auto"/>
        </w:rPr>
      </w:pPr>
    </w:p>
    <w:p>
      <w:pPr>
        <w:ind w:right="180" w:firstLine="318"/>
        <w:spacing w:after="0" w:line="304" w:lineRule="auto"/>
        <w:rPr>
          <w:sz w:val="20"/>
          <w:szCs w:val="20"/>
          <w:color w:val="auto"/>
        </w:rPr>
      </w:pPr>
      <w:r>
        <w:rPr>
          <w:rFonts w:ascii="Times New Roman" w:cs="Times New Roman" w:eastAsia="Times New Roman" w:hAnsi="Times New Roman"/>
          <w:sz w:val="17"/>
          <w:szCs w:val="17"/>
          <w:color w:val="auto"/>
        </w:rPr>
        <w:t>No significant judgement is required to assess the timing of satisfaction of the Group’s performance obligations, the transaction price or the amounts allocated to distinct performance obligations. Obligations regarding returns or warranties do not arise from revenues.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Grants from government agencies and similar bodies</w:t>
      </w:r>
    </w:p>
    <w:p>
      <w:pPr>
        <w:spacing w:after="0" w:line="22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Sono Group receives grants from government agencies and similar bodies like the European Union for participation in specific research and development projects. The grants are recognized when there is reasonable assurance that the grant will be received, and all grant conditions will be met. If grant funds are received prior to qualifying expenses being incurred or assets purchased, they are deferred and recognized in other liabilities. If the funds reimburse expenses, the liability is amortized into other operating income on a systematic basis over the period in which the Group incurs the corresponding expenses. If the funds reimburse purchased assets, the liability is reduced with a corresponding amount deducted from the asset’s carrying amount upon recording of the qualified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Financial instruments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recognition</w:t>
      </w:r>
    </w:p>
    <w:p>
      <w:pPr>
        <w:spacing w:after="0" w:line="220"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A financial instrument is any contract that gives rise to a financial asset of one entity and a financial liability or equity instrument of another entity. Sono Group initially recognizes financial instruments when it becomes party to the contractual provisions of the instrument. Regular way purchases and sales of financial assets are recognized on settlement date, i.e., the date that an asset is delivered to or by an entity.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financial assets and financial liabilities</w:t>
      </w:r>
    </w:p>
    <w:p>
      <w:pPr>
        <w:spacing w:after="0" w:line="220"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Financial assets and liabilities are only offset if offsetting the amounts is legally enforceable at the current time and if there is an actual intention to offset. In general, the Group does not offset financial assets and liabilities and no material offsetting potential exists.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4.3.1 Financial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measurement</w:t>
      </w:r>
    </w:p>
    <w:p>
      <w:pPr>
        <w:spacing w:after="0" w:line="220"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8"/>
          <w:szCs w:val="18"/>
          <w:color w:val="auto"/>
        </w:rPr>
        <w:t>Sono Group’s financial assets include cash and cash equivalents, deposits and other financial receivables. At initial recognition, Sono Group measures a financial asset at its fair value plus, in the case of a financial asset not at fair value through profit or loss, transaction costs that are directly attributable to the acquisition of the financial asset.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After the initial measurement, financial assets are subsequently classified into one of the following categories:</w:t>
      </w:r>
    </w:p>
    <w:p>
      <w:pPr>
        <w:spacing w:after="0" w:line="218" w:lineRule="exact"/>
        <w:rPr>
          <w:sz w:val="20"/>
          <w:szCs w:val="20"/>
          <w:color w:val="auto"/>
        </w:rPr>
      </w:pPr>
    </w:p>
    <w:p>
      <w:pPr>
        <w:ind w:left="680" w:hanging="328"/>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fair value through profit or loss (FVTPL);</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fair value through other comprehensive income (FVOCI, debt instruments);</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fair value through other comprehensive income (FVOCI, equity instruments); and</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amortized cost (AC).</w:t>
      </w:r>
    </w:p>
    <w:p>
      <w:pPr>
        <w:spacing w:after="0" w:line="218"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The classification depends on the financial asset’s contractual cash flow characteristics and the business model (‘hold to collect’, ‘hold to collect and sell’ and ‘other’) for managing them. The cash flow characteristics are assessed at an instrument level, whereas the business model is assessed on portfolio level. Under the business model ‘hold to collect’, the Group holds a financial instrument only to collect contractual cash flows. Under the business model ‘hold to collect and sell’, the Group holds a financial instrument both to collect contractual cash flows and to receive economic benefits from selling these instruments. All other debt instruments are held under the business model ‘other’. Debt instruments that are held under the business model ‘hold to collect’, where those contractual terms give rise to cash flows that are solely payments of principal and interest (SPPI) on the outstanding principal amount, are measured at AC. Financial assets that are held under the business model ‘hold to collect and sell’, where the SPPI criterion is met, are measured at FVOCI. All other debt instruments are measured at FVTPL. Additionally, IFRS 9 allows for optional measurement at FVTPL if using the option significantly reduces a measurement or recognition inconsistency (accounting mismatch). Sono Group does not use this option.</w:t>
      </w:r>
    </w:p>
    <w:p>
      <w:pPr>
        <w:spacing w:after="0" w:line="176"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Financial assets that are equity instruments are measured at FVTPL, unless the Group exercises the policy choice to recognize changes in fair value through other comprehensive income (FVOCI). The gains and losses from the measurement of equity investments are never recycled to the income statement but instead reclassified to revenue reserves on disposal (no reclassification).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measurement</w:t>
      </w:r>
    </w:p>
    <w:p>
      <w:pPr>
        <w:spacing w:after="0" w:line="220"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Management has determined that, as of the reporting date, all financial assets are to be measured at amortized cost as the Group only holds debt instruments and these are held within the business model ‘hold to collect’ and have passed the SPPI-test.</w:t>
      </w:r>
    </w:p>
    <w:p>
      <w:pPr>
        <w:spacing w:after="0" w:line="16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Financial assets at amortized cost are subsequently measured using the effective interest rate (EIR) method and are subject to impairment. Gains and losses are recognized in profit or loss (interest and similar income/expense) when the asset is derecognized, modified or impaired. Changes in the loss allowance are recognized in profit or loss (other operating income/impairment losses on financial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Derecognition</w:t>
      </w:r>
    </w:p>
    <w:p>
      <w:pPr>
        <w:spacing w:after="0" w:line="220"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A financial asset (or, where applicable, a part of a financial asset or part of a group of similar financial assets) is derecognized when Sono Group no longer has the contractual rights to the asset or the rights to receive cash flows from the asset have expired.</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0" w:lineRule="exact"/>
        <w:rPr>
          <w:sz w:val="20"/>
          <w:szCs w:val="20"/>
          <w:color w:val="auto"/>
        </w:rPr>
      </w:pPr>
    </w:p>
    <w:p>
      <w:pPr>
        <w:ind w:right="200" w:firstLine="318"/>
        <w:spacing w:after="0" w:line="253" w:lineRule="auto"/>
        <w:rPr>
          <w:sz w:val="20"/>
          <w:szCs w:val="20"/>
          <w:color w:val="auto"/>
        </w:rPr>
      </w:pPr>
      <w:r>
        <w:rPr>
          <w:rFonts w:ascii="Times New Roman" w:cs="Times New Roman" w:eastAsia="Times New Roman" w:hAnsi="Times New Roman"/>
          <w:sz w:val="18"/>
          <w:szCs w:val="18"/>
          <w:color w:val="auto"/>
        </w:rPr>
        <w:t>IFRS 9 requires recognizing expected credit losses for debt financial assets measured at AC or at FVOCI, lease receivables and contract assets, for which there is no objective evidence of impairment and loss allowances for financial assets that are credit impaired. ECLs are based on the difference between the contractual cash flows due in accordance with the contract and all the cash flows that Sono Group expects to receive, discounted at an approximation of the original EIR. The expected cash flows will include cash flows from the sale of collateral held or other credit enhancements that are integral to the contractual terms.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calculation of impairment losses, IFRS 9 distinguishes between the general approach and the simplified approach.</w:t>
      </w:r>
    </w:p>
    <w:p>
      <w:pPr>
        <w:spacing w:after="0" w:line="218"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Under the general approach, financial assets are allocated to one of three stages. For financial assets not yet credit-impaired at initial recognition, ECLs are provided for credit losses that result from default events that are possible within the next 12 months (12-month ECL, Stage 1). In subsequent measurement, for credit exposures for which there has not been a significant increase in credit risk since initial recognition, 12-month ECL are provided. For those credit exposures for which there has been a significant increase in credit risk since initial recognition, a loss allowance is required for credit losses expected over the remaining life of the exposure, irrespective of the timing of the default (lifetime ECL, Stage 2). Financial assets with objective evidence of impairment are allocated to Stage 3, for which also lifetime expected credit losses are calculated.</w:t>
      </w:r>
    </w:p>
    <w:p>
      <w:pPr>
        <w:spacing w:after="0" w:line="189"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Sono Group applies the general approach unless the simplified approach is required. The simplified approach is required for trade receivables or contract assets resulting from transactions within the scope of IFRS 15 that do not contain a significant financing component. Under the simplified approach, the loss allowance is always measured over the remaining life of the exposure (lifetime ECL, Stage 2). In addition, the simplified approach also requires loss allowances in case an objective indication of default is present (credit-impaired financial assets; Stage 3).</w:t>
      </w:r>
    </w:p>
    <w:p>
      <w:pPr>
        <w:spacing w:after="0" w:line="182"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Sono Group generally presumes all financial assets that are 30 days past due to have a significant increase in credit risk and accounts for expected losses over the remaining lifetime of those financial assets. Sono Group presumes a default, based on experience and the business conduct within Sono Group’s line of business, to occur when financial assets are 90 days past due (Stage 3). However, due to the manageable number and respective gross carrying amount of financial assets in Sono Group’s consolidated balance sheet, Sono Group decided to test all financial assets, regardless of their maturity, individually for expected credit loss, using reasonable and supportable historic and forward-looking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4.3.2 Financial liabilities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measurement</w:t>
      </w:r>
    </w:p>
    <w:p>
      <w:pPr>
        <w:spacing w:after="0" w:line="220"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Sono Group’s financial liabilities include lease liabilities, loans from shareholders and private investors, participation rights, and trade and other payables. Regarding lease liabilities, please refer to note 4.6.2 Lease liabilities.</w:t>
      </w:r>
    </w:p>
    <w:p>
      <w:pPr>
        <w:spacing w:after="0" w:line="164"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All financial liabilities in the scope of IFRS 9 are initially measured at their fair value minus, in the case of financial liabilities not at fair value through profit or loss (FVTPL), transaction costs that are directly attributable to the issue of the financial liabilities. In case of financial liabilities at FVTPL, transaction costs are directly recognized in profit or loss. After initial measurement, the financial liabilities are subsequently classified as measured either at amortized cost or fair value through profit or loss.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Sono Group analyzes all contracts to determine whether the underlying contracts are debt or equity.</w:t>
      </w:r>
    </w:p>
    <w:p>
      <w:pPr>
        <w:spacing w:after="0" w:line="218"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An embedded derivative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Reassessment of the bifurcation requirement only occurs if there is a change in the terms of the contract that significantly modifies the cash flows that would otherwise be required. Bifurcated embedded derivatives are measured at fair value with changes in fair value recognized in profit or loss. Additionally, IFRS 9 allows for an optional classification of a financial liability measured at FVTPL if a contract contains one or more embedded derivatives, unless the embedded derivative(s) do(es) not significantly modify the contractual cash flows or it is clear with little or no analysis at the time of the contract’s first recognition that a separation of the embedded derivatives is prohibited. Sono Group exercised this option in 2020 for mandatory convertible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measurement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measurement of financial liabilities of Sono Group depends on their classification as follows:</w:t>
      </w:r>
    </w:p>
    <w:p>
      <w:pPr>
        <w:spacing w:after="0" w:line="218" w:lineRule="exact"/>
        <w:rPr>
          <w:sz w:val="20"/>
          <w:szCs w:val="20"/>
          <w:color w:val="auto"/>
        </w:rPr>
      </w:pPr>
    </w:p>
    <w:p>
      <w:pPr>
        <w:ind w:left="680" w:right="60" w:hanging="328"/>
        <w:spacing w:after="0" w:line="253" w:lineRule="auto"/>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at FVTPL: As of December 31, 2021, there are no financial liabilities at FVTPL on the balance sheet of Sono Group. As of December 31, 2020, this category solely consisted of mandatory convertible loans that contained one or more embedded derivatives and were designated as at fair value through profit or loss in accordance with IFRS 9.4.3.5. by Sono Group. Gains and losses were recognized in profit or loss (interest and similar income/expense) and, where they result from changes in own credit risk, in other comprehensive income.</w:t>
      </w:r>
    </w:p>
    <w:p>
      <w:pPr>
        <w:spacing w:after="0" w:line="182" w:lineRule="exact"/>
        <w:rPr>
          <w:rFonts w:ascii="Times New Roman" w:cs="Times New Roman" w:eastAsia="Times New Roman" w:hAnsi="Times New Roman"/>
          <w:sz w:val="18"/>
          <w:szCs w:val="18"/>
          <w:color w:val="auto"/>
        </w:rPr>
      </w:pPr>
    </w:p>
    <w:p>
      <w:pPr>
        <w:ind w:left="680" w:right="60" w:hanging="328"/>
        <w:spacing w:after="0" w:line="253" w:lineRule="auto"/>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measured at amortized cost (FLAC): After initial recognition, these liabilities are measured at amortized cost using the EIR method. Gains and losses are recognized in profit or loss (interest and similar income/expense) when the liabilities are derecognized as well as in case of amortization using the EIR method. Amortization according to the EIR method is included in interest expenses in profit or loss. Amortized cost is calculated by considering any discount or premium on acquisition and fees or costs that are an integral part of the EIR.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Derecognition</w:t>
      </w:r>
    </w:p>
    <w:p>
      <w:pPr>
        <w:spacing w:after="0" w:line="220"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A financial liability is derecognized when the obligation under the liability is discharged or canceled or expires. When an existing financial liability is replaced by another one from the same lender on substantially different terms, or the terms of an existing liability are substantially modified, such an exchange or modification is treated as the derecognition of the original liability and the recognition of a new liability. The difference between the carrying amount of a financial liability (or part of a financial liability) extinguished or transferred to another party and the consideration paid, including any non-cash assets transferred or liabilities assumed, is recognized in profit or loss.</w:t>
      </w:r>
    </w:p>
    <w:p>
      <w:pPr>
        <w:spacing w:after="0" w:line="16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4.4.1 Internally generated intangible assets</w:t>
      </w:r>
    </w:p>
    <w:p>
      <w:pPr>
        <w:spacing w:after="0" w:line="220"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In accordance with IAS 38, research activities undertaken with the prospect of gaining new scientific or technical knowledge and understanding are expensed as incurred.</w:t>
      </w:r>
    </w:p>
    <w:p>
      <w:pPr>
        <w:spacing w:after="0" w:line="164"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Development costs for future series products and other internally generated intangible assets may be capitalized at cost if they are directly attributable to the design and testing of identifiable and unique products controlled by Sono Group and the criteria of IAS 38.57 are met. Capitalized development costs then must include all direct costs that are attributable to the development process.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the criteria for recognition of assets are not met, the expenses are recognized in profit or loss in the year in which they are incurred.</w:t>
      </w:r>
    </w:p>
    <w:p>
      <w:pPr>
        <w:spacing w:after="0" w:line="229"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As of the end of the reporting period as well as in previous years, management has determined that the criteria for capitalization of development costs have not been met. Consequently, all development costs were recognized in profit or loss as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4.4.2 Acquired intangible assets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Acquired intangible assets are initially measured at cost and amortized over their useful life using the straight-line method.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4.4.3 Subsequent measurement</w:t>
      </w:r>
    </w:p>
    <w:p>
      <w:pPr>
        <w:spacing w:after="0" w:line="220"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Following initial recognition, intangible assets are carried at cost less any accumulated amortization and any accumulated impairment losses. There were no triggering events identified in 2021 and in prior periods that would require an impairment test.</w:t>
      </w:r>
    </w:p>
    <w:p>
      <w:pPr>
        <w:spacing w:after="0" w:line="164" w:lineRule="exact"/>
        <w:rPr>
          <w:sz w:val="20"/>
          <w:szCs w:val="20"/>
          <w:color w:val="auto"/>
        </w:rPr>
      </w:pPr>
    </w:p>
    <w:p>
      <w:pPr>
        <w:ind w:right="80" w:firstLine="318"/>
        <w:spacing w:after="0" w:line="275" w:lineRule="auto"/>
        <w:rPr>
          <w:sz w:val="20"/>
          <w:szCs w:val="20"/>
          <w:color w:val="auto"/>
        </w:rPr>
      </w:pPr>
      <w:r>
        <w:rPr>
          <w:rFonts w:ascii="Times New Roman" w:cs="Times New Roman" w:eastAsia="Times New Roman" w:hAnsi="Times New Roman"/>
          <w:sz w:val="17"/>
          <w:szCs w:val="17"/>
          <w:color w:val="auto"/>
        </w:rPr>
        <w:t>Intangible assets with finite useful lives are amortized over their useful life, generally using the straight-line method. The amortization period and the amortization method for an intangible asset with a finite useful life are reviewed at least annually at each fiscal year end. Changes in the expected useful life or the expected pattern of consumption of future economic benefits are accounted for prospectively. Amortization of an intangible asset is recognized in profit or loss in accordance with the function of the intangible asset.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Gains or losses arising from derecognition of an intangible asset are measured as the difference between the net disposal proceeds and the carrying amount of the asset and are recognized in profit or loss in the period in which the asset is derecognized.</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are amortized using the straight line-method over the useful life as displayed in the below table:</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Website</w:t>
            </w:r>
          </w:p>
        </w:tc>
        <w:tc>
          <w:tcPr>
            <w:tcW w:w="12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Software</w:t>
            </w:r>
          </w:p>
        </w:tc>
      </w:tr>
      <w:tr>
        <w:trPr>
          <w:trHeight w:val="206"/>
        </w:trPr>
        <w:tc>
          <w:tcPr>
            <w:tcW w:w="53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Useful life (years)</w:t>
            </w:r>
          </w:p>
        </w:tc>
        <w:tc>
          <w:tcPr>
            <w:tcW w:w="1220" w:type="dxa"/>
            <w:vAlign w:val="bottom"/>
            <w:tcBorders>
              <w:top w:val="single" w:sz="8" w:color="auto"/>
            </w:tcBorders>
            <w:shd w:val="clear" w:color="auto" w:fill="CCEEFF"/>
          </w:tcPr>
          <w:p>
            <w:pPr>
              <w:ind w:left="820"/>
              <w:spacing w:after="0" w:line="206" w:lineRule="exact"/>
              <w:rPr>
                <w:sz w:val="20"/>
                <w:szCs w:val="20"/>
                <w:color w:val="auto"/>
              </w:rPr>
            </w:pPr>
            <w:r>
              <w:rPr>
                <w:rFonts w:ascii="Times New Roman" w:cs="Times New Roman" w:eastAsia="Times New Roman" w:hAnsi="Times New Roman"/>
                <w:sz w:val="18"/>
                <w:szCs w:val="18"/>
                <w:color w:val="auto"/>
              </w:rPr>
              <w:t>3 – 4</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820"/>
              <w:spacing w:after="0" w:line="206" w:lineRule="exact"/>
              <w:rPr>
                <w:sz w:val="20"/>
                <w:szCs w:val="20"/>
                <w:color w:val="auto"/>
              </w:rPr>
            </w:pPr>
            <w:r>
              <w:rPr>
                <w:rFonts w:ascii="Times New Roman" w:cs="Times New Roman" w:eastAsia="Times New Roman" w:hAnsi="Times New Roman"/>
                <w:sz w:val="18"/>
                <w:szCs w:val="18"/>
                <w:color w:val="auto"/>
              </w:rPr>
              <w:t>1 – 5</w:t>
            </w:r>
          </w:p>
        </w:tc>
      </w:tr>
    </w:tbl>
    <w:p>
      <w:pPr>
        <w:spacing w:after="0" w:line="19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0"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impairments. These costs also comprise the costs for replacement parts, which are recognized at the time they are incurred, providing they meet the recognition criteria. All other repair and maintenance costs are expensed as incurred. Depreciation begins when the asset is available for use.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plant and equipment are depreciated using the straight line-method over the useful life as displayed in the below table:</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payments to</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Equipment /</w:t>
            </w: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technical</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equipment and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Useful life (years)</w:t>
            </w:r>
          </w:p>
        </w:tc>
        <w:tc>
          <w:tcPr>
            <w:tcW w:w="1240" w:type="dxa"/>
            <w:vAlign w:val="bottom"/>
            <w:tcBorders>
              <w:top w:val="single" w:sz="8" w:color="auto"/>
            </w:tcBorders>
            <w:shd w:val="clear" w:color="auto" w:fill="CCEEFF"/>
          </w:tcPr>
          <w:p>
            <w:pPr>
              <w:ind w:left="740"/>
              <w:spacing w:after="0" w:line="206" w:lineRule="exact"/>
              <w:rPr>
                <w:sz w:val="20"/>
                <w:szCs w:val="20"/>
                <w:color w:val="auto"/>
              </w:rPr>
            </w:pPr>
            <w:r>
              <w:rPr>
                <w:rFonts w:ascii="Times New Roman" w:cs="Times New Roman" w:eastAsia="Times New Roman" w:hAnsi="Times New Roman"/>
                <w:sz w:val="18"/>
                <w:szCs w:val="18"/>
                <w:color w:val="auto"/>
              </w:rPr>
              <w:t>3 – 13</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10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Impairment losses on property, plant and equipment are recognized in accordance with IAS 36 if the recoverable amount of the respective asset has fallen below the carrying amount. Recoverable amount is the higher of value in use and fair value less costs to sell. If the reasons for impairments recognized in previous years no longer apply, the impairment losses are reversed up to a maximum of the amount that would have been determined if no impairment loss had been recognized.</w:t>
      </w:r>
    </w:p>
    <w:p>
      <w:pPr>
        <w:spacing w:after="0" w:line="182"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recognition of impairment losses requires the prior identification of triggering events. For details on any impairments or reversals of earlier impairments in the reporting period, please refer to note 7.2 Property, plant and equipment.</w:t>
      </w:r>
    </w:p>
    <w:p>
      <w:pPr>
        <w:spacing w:after="0" w:line="164"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Property, plant and equipment are derecognized upon disposal or when no further economic benefits are expected from their continued use or sale. The gain or loss on derecognition is determined as the difference between the net disposal proceeds and the carrying amount and recognized in profit or loss in the period in which the item is derecognized.</w:t>
      </w:r>
    </w:p>
    <w:p>
      <w:pPr>
        <w:spacing w:after="0" w:line="17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residual values of the assets, useful lives and depreciation methods are reviewed at the end of each fiscal year and any changes are accounted for prospectively.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residual values of the assets are generally considered to be zero.</w:t>
      </w:r>
    </w:p>
    <w:p>
      <w:pPr>
        <w:spacing w:after="0" w:line="2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0"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Applying IFRS 16, at inception of a contract, Sono Group assesses whether a contract is, or contains, a lease. A contract is, or contains, a lease if the contract conveys the right to control the use of an identified asset for a period of time in exchange for consideration.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4.6.1 Right-of-use assets</w:t>
      </w:r>
    </w:p>
    <w:p>
      <w:pPr>
        <w:spacing w:after="0" w:line="220"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Sono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as well as any estimated costs to be incurred by the lessee for dismantling and removing the underlying asset. Unless Sono Group is reasonably certain to obtain ownership of the leased asset at the end of the lease term, the recognized right-of-use assets are depreciated on a straight-line basis over the shorter of its estimated useful life, and the lease term. Right-of-use assets are subject to impairment according to IAS 36.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4.6.2 Lease liabilities</w:t>
      </w:r>
    </w:p>
    <w:p>
      <w:pPr>
        <w:spacing w:after="0" w:line="22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At the commencement date of the lease, Sono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Sono Group and payments of penalties for terminating a lease, if the lease term reflects Sono Group exercising the option to terminate. The variable lease payments that do not depend on an index or a rate are recognized as expenses in the period in which the event or condition that triggers the payment occurs. To calculate the present value of lease payments, Sono Group uses the incremental borrowing rate at the lease commencement date if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in-substance fixed lease payments or a change in the assessment of whether an option to purchase the underlying asset will be executed with reasonable certainty.</w:t>
      </w:r>
    </w:p>
    <w:p>
      <w:pPr>
        <w:spacing w:after="0" w:line="194"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When the lease liability is remeasured, a corresponding adjustment is made to the carrying amount for the right-of-use asset or is recorded in profit or loss if the carrying amount of the right-of-use asset has been reduced to zero.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4.6.3 Short-term leases and leases of low-value assets</w:t>
      </w:r>
    </w:p>
    <w:p>
      <w:pPr>
        <w:spacing w:after="0" w:line="220"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Sono Group applies the short-term lease recognition exemption to its short-term leases of buildings and cars (i.e., leases that have a lease term of twelve months or less from the commencement date and do not contain a purchase option). It also applies the lease of low-value assets recognition exemption to leases of office equipment that are considered of low value. Lease payments on short-term leases (contracts with a term of twelve months or less) and leases of low-value assets (Sono Group threshold of fair value of leased asset &lt; kEUR 5) are recognized as expense on a straight-line basis over the lease term.</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220" w:lineRule="exact"/>
        <w:rPr>
          <w:sz w:val="20"/>
          <w:szCs w:val="20"/>
          <w:color w:val="auto"/>
        </w:rPr>
      </w:pPr>
    </w:p>
    <w:p>
      <w:pPr>
        <w:jc w:val="both"/>
        <w:ind w:right="80" w:firstLine="318"/>
        <w:spacing w:after="0" w:line="260" w:lineRule="auto"/>
        <w:rPr>
          <w:sz w:val="20"/>
          <w:szCs w:val="20"/>
          <w:color w:val="auto"/>
        </w:rPr>
      </w:pPr>
      <w:r>
        <w:rPr>
          <w:rFonts w:ascii="Times New Roman" w:cs="Times New Roman" w:eastAsia="Times New Roman" w:hAnsi="Times New Roman"/>
          <w:sz w:val="18"/>
          <w:szCs w:val="18"/>
          <w:color w:val="auto"/>
        </w:rPr>
        <w:t>Cash and cash equivalents include PayPal accounts to the extent that these can be disposed of at short notice (regular rolling reserve), bank balances and money in transit with an original maturity of three months or less. Cash and cash equivalents are measured at amortized cost and are subject to the impairment requirements of IFRS 9.</w:t>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Advance payments received from customers</w:t>
      </w:r>
    </w:p>
    <w:p>
      <w:pPr>
        <w:spacing w:after="0" w:line="220"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Advance payments received from customers are recognized at the time the cash is collected by Sono Group. As Sono Group will begin delivering its Sion electrical vehicles to customers after the start of production, which is currently expected in the second half of 2023, all advance payments are shown as noncurrent, even though some customers may be able to cancel their contract (depending on the general terms in some cases cancellation is possible within the next 12 months) and demand the money back. Due to an original term of the advance payments which is more than 12 months, the advance payments include a significant financing component. The compounding effect is recognized in interest expense and increases the advance payments received from customers. Sales revenues from advance payments received from customers will be recognized at the time of delivery of the car.</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7"/>
          <w:szCs w:val="17"/>
          <w:b w:val="1"/>
          <w:bCs w:val="1"/>
          <w:color w:val="auto"/>
        </w:rPr>
        <w:t>Provisions</w:t>
      </w:r>
    </w:p>
    <w:p>
      <w:pPr>
        <w:spacing w:after="0" w:line="220"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Provisions for bonus and settlement payments or any other obligations are recognized when the group has a present legal or constructive obligation as a result of past events, if it is probable that an outflow of resources will be required to settle the obligation, and if the amount can be reliably estimated. Provisions are not recognized for future operations. Moreover, provisions are recognized when Sono Group determines that it has a contract in which the unavoidable costs of meeting the obligations under the contract exceed the economic benefits expected to be received under it (onerous contract).</w:t>
      </w:r>
    </w:p>
    <w:p>
      <w:pPr>
        <w:spacing w:after="0" w:line="182"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auto"/>
        </w:rPr>
        <w:t>Provisions are measured at the present value of management’s best estimate of the expenditure required to settle the present obligation at the end of the reporting period. Provisions for onerous contracts are measured at the present obligation under the contract, i.e., the lower of the cost of fulfilling the contract and any compensations or penalties arising from failure to fulfill it. Provisions are discounted when the time value of money is material. As of December 31, 2021, and 2020, there were no discounted provisions.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 Taxes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4.10.1  Current tax assets and liabilities</w:t>
      </w:r>
    </w:p>
    <w:p>
      <w:pPr>
        <w:spacing w:after="0" w:line="220"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Current tax assets and liabilities are measured at the amount expected to be recovered from or paid to the taxation authorities based on the tax rates and tax laws that are enacted or substantively enacted at the end of the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4.10.2  Deferred taxes</w:t>
      </w:r>
    </w:p>
    <w:p>
      <w:pPr>
        <w:spacing w:after="0" w:line="220"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Deferred tax is recognized using the liability method on temporary differences as of the end of the reporting period between the carrying amounts of assets and liabilities and their tax bases.</w:t>
      </w:r>
    </w:p>
    <w:p>
      <w:pPr>
        <w:spacing w:after="0" w:line="164" w:lineRule="exact"/>
        <w:rPr>
          <w:sz w:val="20"/>
          <w:szCs w:val="20"/>
          <w:color w:val="auto"/>
        </w:rPr>
      </w:pPr>
    </w:p>
    <w:p>
      <w:pPr>
        <w:ind w:right="320" w:firstLine="318"/>
        <w:spacing w:after="0" w:line="260" w:lineRule="auto"/>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or loss nor taxable profit or loss.</w:t>
      </w:r>
    </w:p>
    <w:p>
      <w:pPr>
        <w:spacing w:after="0" w:line="176"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Deferred tax assets are recognized for deductible temporary differences and to the extent that it is probable that future taxable income will allow the deferred tax asset to be realized. Deferred tax liabilities are recognized for all taxable temporary differences associated with investments in subsidiaries and associates, except where the Group is able to control the reversal of the temporary differences and it is probable that the temporary difference will not reverse in the foreseeable future. However, to the extent that taxable income exceeds an amount of kEUR 1,000, only up to 60% of such income may be offset against tax losses carried forward. The remaining 40% of the taxable income is subject to corporate income and trade tax under the so-called minimum taxation rules. Taxable income for corporate income tax and trade tax purposes of up to an amount of kEUR 1,000 could fully be offset against tax losses carried forward.</w:t>
      </w:r>
    </w:p>
    <w:p>
      <w:pPr>
        <w:spacing w:after="0" w:line="17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 Deferred tax assets may only be recognized up to the amount of the deferred tax liabilities as it is not sufficiently probable that future taxable profit will be available against which they can be utilized.</w:t>
      </w:r>
    </w:p>
    <w:p>
      <w:pPr>
        <w:spacing w:after="0" w:line="182" w:lineRule="exact"/>
        <w:rPr>
          <w:sz w:val="20"/>
          <w:szCs w:val="20"/>
          <w:color w:val="auto"/>
        </w:rPr>
      </w:pPr>
    </w:p>
    <w:p>
      <w:pPr>
        <w:jc w:val="both"/>
        <w:ind w:right="20" w:firstLine="318"/>
        <w:spacing w:after="0" w:line="260" w:lineRule="auto"/>
        <w:rPr>
          <w:sz w:val="20"/>
          <w:szCs w:val="20"/>
          <w:color w:val="auto"/>
        </w:rPr>
      </w:pPr>
      <w:r>
        <w:rPr>
          <w:rFonts w:ascii="Times New Roman" w:cs="Times New Roman" w:eastAsia="Times New Roman" w:hAnsi="Times New Roman"/>
          <w:sz w:val="18"/>
          <w:szCs w:val="18"/>
          <w:color w:val="auto"/>
        </w:rPr>
        <w:t>If transactions and other events are recognized directly in equity, any related taxes on income are also recognized directly in equity. As transaction costs are recognized in the capital reserve, corresponding (deferred) tax effects are recognized partly due to the loss situation of Sono Group and the fact that deferred taxes for losses carried forward were partly recognized at the level of Sono N.V.</w:t>
      </w:r>
    </w:p>
    <w:p>
      <w:pPr>
        <w:spacing w:after="0" w:line="17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there is a legally enforceable right to offset current tax assets and current tax liabilities and these relate to income taxes levied by the same tax jurisdiction.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4.10.3  Tax losses carried forward</w:t>
      </w:r>
    </w:p>
    <w:p>
      <w:pPr>
        <w:spacing w:after="0" w:line="220"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Based on management’s estimation, a deferred tax asset is recognized for the tax losses carried forward to the extent that it is probable that future taxable profit will be available against which the unused tax losses and unused tax credits can be utilized. Only up to 60% of the Group’s annual taxable income, to the extent such taxable income exceeds kEUR 1,000, may be offset against tax loss carry forwards. The remaining 40% of the taxable income is subject to corporate income and trade tax under the so-called minimum taxation rules. Annual taxable income for corporate income tax and trade tax purposes of up to kEUR 1,000 could fully be offset against tax losses carried forward. For further information regarding the tax losses carried forward see note 4.13.6 Recoverability of deferred tax assets in relation to loss carryforwards.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4.11 Share-based payment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Share-based payment transaction include:</w:t>
      </w:r>
    </w:p>
    <w:p>
      <w:pPr>
        <w:spacing w:after="0" w:line="218" w:lineRule="exact"/>
        <w:rPr>
          <w:sz w:val="20"/>
          <w:szCs w:val="20"/>
          <w:color w:val="auto"/>
        </w:rPr>
      </w:pPr>
    </w:p>
    <w:p>
      <w:pPr>
        <w:ind w:left="680" w:hanging="328"/>
        <w:spacing w:after="0"/>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equity-settled share-based payment transactions,</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cash-settled share-based payment transactions, and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06" w:right="10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20" w:hanging="328"/>
        <w:spacing w:after="0" w:line="260" w:lineRule="auto"/>
        <w:tabs>
          <w:tab w:leader="none" w:pos="6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the entity receives or acquires goods or services and the terms of the arrangement provide either the entity or the supplier of those goods or services with a choice of whether the entity settles the transaction in cash (or other assets) or by issuing equity instruments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 are accounted for in accordance with IFRS 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4.11.1  Equity-settled</w:t>
      </w:r>
    </w:p>
    <w:p>
      <w:pPr>
        <w:spacing w:after="0" w:line="220" w:lineRule="exact"/>
        <w:rPr>
          <w:sz w:val="20"/>
          <w:szCs w:val="20"/>
          <w:color w:val="auto"/>
        </w:rPr>
      </w:pPr>
    </w:p>
    <w:p>
      <w:pPr>
        <w:ind w:right="240" w:firstLine="318"/>
        <w:spacing w:after="0" w:line="260" w:lineRule="auto"/>
        <w:rPr>
          <w:sz w:val="20"/>
          <w:szCs w:val="20"/>
          <w:color w:val="auto"/>
        </w:rPr>
      </w:pPr>
      <w:r>
        <w:rPr>
          <w:rFonts w:ascii="Times New Roman" w:cs="Times New Roman" w:eastAsia="Times New Roman" w:hAnsi="Times New Roman"/>
          <w:sz w:val="18"/>
          <w:szCs w:val="18"/>
          <w:color w:val="auto"/>
        </w:rPr>
        <w:t>For equity-settled share-based payment transactions, on grant date, Sono Group initially measures the fair value of the received services by reference to the fair value of the equity instruments granted. Sono Group recognizes the fair value of the goods or services as expenses and a corresponding increase in equity when the services are received.</w:t>
      </w:r>
    </w:p>
    <w:p>
      <w:pPr>
        <w:spacing w:after="0" w:line="176"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Vesting conditions, other than market conditions, are not considered when estimating the fair value of the equity instruments at the measurement date. Instead, vesting conditions, other than market conditions, are considered by adjusting the number of equity instruments included in the measurement of the transaction amount. Non-vesting conditions are considered when estimating the fair value of the equity instruments granted.</w:t>
      </w:r>
    </w:p>
    <w:p>
      <w:pPr>
        <w:spacing w:after="0" w:line="18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If Sono Group and the supplier of services did not agree on service conditions and the supplier of services is unconditionally entitled to the equity instruments, Sono Group presumes that the services have been received on grant date and recognizes the services received in full, with a corresponding increase in equity. If Sono Group and the supplier of services did agree on service conditions, the Group accounts for the services as they are rendered by the supplier during the vesting period, with a corresponding increase in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4.11.2  Choice of settlement (Sono Group)</w:t>
      </w:r>
    </w:p>
    <w:p>
      <w:pPr>
        <w:spacing w:after="0" w:line="22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For transactions in which the terms of the arrangement provide Sono Group with a choice of settlement, Sono Group determines whether it has a present obligation to settle in cash. Sono would have an obligation to settle in cash if the choice of settlement in equity instruments has no commercial substance, or Sono Group had a past practice or a stated policy of settling in cash, or generally settles in cash whenever the counterparty asks for cash settlement. Management determined that Sono Group does not have an obligation to settle in cash and therefore accounts for the transactions in which the terms of the arrangement provide Sono Group with a choice of settlement with the requirements applying to equity-settled share-based payment transactions. We refer to note 4.11.1 Equity-settled.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Upon settlement:</w:t>
      </w:r>
    </w:p>
    <w:p>
      <w:pPr>
        <w:spacing w:after="0" w:line="218" w:lineRule="exact"/>
        <w:rPr>
          <w:sz w:val="20"/>
          <w:szCs w:val="20"/>
          <w:color w:val="auto"/>
        </w:rPr>
      </w:pPr>
    </w:p>
    <w:p>
      <w:pPr>
        <w:ind w:left="680" w:right="40" w:hanging="328"/>
        <w:spacing w:after="0" w:line="274" w:lineRule="auto"/>
        <w:tabs>
          <w:tab w:leader="none" w:pos="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Sono Group elects to settle in cash, the cash payment is accounted for as the repurchase of an equity interest, i. e. as a deduction from equity,</w:t>
      </w:r>
    </w:p>
    <w:p>
      <w:pPr>
        <w:spacing w:after="0" w:line="164"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Sono Group elects to settle by issuing equity instruments, no further accounting is required and</w:t>
      </w:r>
    </w:p>
    <w:p>
      <w:pPr>
        <w:spacing w:after="0" w:line="217" w:lineRule="exact"/>
        <w:rPr>
          <w:rFonts w:ascii="Times New Roman" w:cs="Times New Roman" w:eastAsia="Times New Roman" w:hAnsi="Times New Roman"/>
          <w:sz w:val="18"/>
          <w:szCs w:val="18"/>
          <w:color w:val="auto"/>
        </w:rPr>
      </w:pPr>
    </w:p>
    <w:p>
      <w:pPr>
        <w:ind w:left="680" w:right="200" w:hanging="328"/>
        <w:spacing w:after="0" w:line="255" w:lineRule="auto"/>
        <w:tabs>
          <w:tab w:leader="none" w:pos="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Sono Group elects the settlement alternative with the higher fair value, as at the date of settlement, Sono Group recognizes an additional expense for the excess value given, i. e. the difference between the cash paid and the fair value of the equity instruments that would otherwise have been issued, or the difference between the fair value of the equity instruments issued and the amount of cash that would otherwise have been paid, whichever is applicable.</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details, please refer to note 9.3. Remuneration based on shares (share-based payment).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4.12 Foreign currency translation</w:t>
      </w:r>
    </w:p>
    <w:p>
      <w:pPr>
        <w:spacing w:after="0" w:line="220"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For each entity, the Group determines the functional currency and items included in the financial statements of each entity are measured using that functional currency. Foreign currency transactions are initially translated at the spot rate applicable between the functional currency and the foreign currency on the date of the transaction. Monetary assets and liabilities in foreign currencies are translated to the functional currency using the prevailing rate at the reporting date. Foreign currency exchange differences are recognized in profit or loss.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 Significant accounting judgments, estimates and assumptions</w:t>
      </w:r>
    </w:p>
    <w:p>
      <w:pPr>
        <w:spacing w:after="0" w:line="220" w:lineRule="exact"/>
        <w:rPr>
          <w:sz w:val="20"/>
          <w:szCs w:val="20"/>
          <w:color w:val="auto"/>
        </w:rPr>
      </w:pPr>
    </w:p>
    <w:p>
      <w:pPr>
        <w:ind w:right="100" w:firstLine="318"/>
        <w:spacing w:after="0" w:line="269" w:lineRule="auto"/>
        <w:rPr>
          <w:sz w:val="20"/>
          <w:szCs w:val="20"/>
          <w:color w:val="auto"/>
        </w:rPr>
      </w:pPr>
      <w:r>
        <w:rPr>
          <w:rFonts w:ascii="Times New Roman" w:cs="Times New Roman" w:eastAsia="Times New Roman" w:hAnsi="Times New Roman"/>
          <w:sz w:val="17"/>
          <w:szCs w:val="17"/>
          <w:color w:val="auto"/>
        </w:rPr>
        <w:t>The preparation of consolidated financial statements in accordance with IFRS requires management to make judgments, estimates and assumptions that affect the reported amounts in the financial statements. Management continually evaluates its judgments and estimates in relation to assets, liabilities, contingent liabilities, and expenses. Management bases its judgments and estimates on historical experience and on other various factors it believes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w:t>
      </w:r>
    </w:p>
    <w:p>
      <w:pPr>
        <w:spacing w:after="0" w:line="171"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In the process of applying the accounting policies, management has made the following judgments, which have the most significant effect on the amounts recognized in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4.13.1  Going concern</w:t>
      </w:r>
    </w:p>
    <w:p>
      <w:pPr>
        <w:spacing w:after="0" w:line="220"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8"/>
          <w:szCs w:val="18"/>
          <w:color w:val="auto"/>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consolidated financial statements.</w:t>
      </w:r>
    </w:p>
    <w:p>
      <w:pPr>
        <w:spacing w:after="0" w:line="176" w:lineRule="exact"/>
        <w:rPr>
          <w:sz w:val="20"/>
          <w:szCs w:val="20"/>
          <w:color w:val="auto"/>
        </w:rPr>
      </w:pPr>
    </w:p>
    <w:p>
      <w:pPr>
        <w:ind w:right="80" w:firstLine="318"/>
        <w:spacing w:after="0" w:line="275" w:lineRule="auto"/>
        <w:rPr>
          <w:sz w:val="20"/>
          <w:szCs w:val="20"/>
          <w:color w:val="auto"/>
        </w:rPr>
      </w:pPr>
      <w:r>
        <w:rPr>
          <w:rFonts w:ascii="Times New Roman" w:cs="Times New Roman" w:eastAsia="Times New Roman" w:hAnsi="Times New Roman"/>
          <w:sz w:val="17"/>
          <w:szCs w:val="17"/>
          <w:color w:val="auto"/>
        </w:rPr>
        <w:t>Historically, Sono Group has financed its operations primarily through capital raises and loans from shareholders and private investors (including its IPO in November 2021) as well as through advance payments received from customers. Since inception Sono Group has incurred recurring losses and negative cash flows from operations, including accumulated net losses of kEUR 147,081 as of December 31, 2021 and expects to continue to generate operating losses and negative cash flows from operations for the foreseeable future.</w:t>
      </w:r>
    </w:p>
    <w:p>
      <w:pPr>
        <w:spacing w:after="0" w:line="165"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In November 2021, Sono Group received net proceeds from their IPO in the amount of kEUR 142,334. At that time, Sono Management planned and disclosed that the proceeds were to be used to finalize the development of the prototype SVC3 and to maintain liquidity of the Company until May 2023 (including a reserve of mEUR 41 related to the potential repayment of the customer prepayments at any time). Management also began to increase headcount and proceeded with additional development and production activities for the car and solar technology, which increased the rate at which available cash is being expended. With the change of contract manufacturer (see note 9.7 Subsequent events), the planned start of series production had to be postponed from the first half of 2023 to the second half of</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2023 and the cost estimates for pre-production activities had to be increased. These changes to the initial plan put increased pressure on the financing of development and operations and will require additional funding to be received in the short term.</w:t>
      </w:r>
    </w:p>
    <w:p>
      <w:pPr>
        <w:spacing w:after="0" w:line="183"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8"/>
          <w:szCs w:val="18"/>
          <w:color w:val="auto"/>
        </w:rPr>
        <w:t>Sono Group’s financing plan shows substantial financing needs, including increased needs due to a change in its contract manufacturer (see note 9.7 Subsequent events), planned cost increases, additional technical and regulatory requirements, and changes in suppliers in addition to the current economic environment of increasing prices, resulting in significantly higher financing requirements needed to reach the start of serial production in the second half of 2023. Based on numerous risks and uncertainties, Sono Group cannot predict with certainty the total costs to be incurred prior to the commencement of production.</w:t>
      </w:r>
    </w:p>
    <w:p>
      <w:pPr>
        <w:spacing w:after="0" w:line="182"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Sono Group’s forecasted cash required to fund investments and operations (excluding future financing plans and counter measures to be taken by management) indicates that the Group does not currently have sufficient funds to fund its operations through the twelve-month period from the issuance date of these financial statements. Consequently, the Group’s ability to continue as a going concern is largely dependent on its ability to raise additional funds in the near future through debt or equity transactions, additional advance payments, or other means, to finance investments and operations and ultimately, to achieve serial production of the Sion. In this regard, management plans to seek to raise additional capital of at least mEUR 200 in 2022 through the issuance of new shares in public offerings and/or through equity facility transactions with financial institutions currently offered to Sono Group (and, based on current expectations, would also expect to raise additional capital at a future date prior to commencement of production). In addition, the Group is exploring alternative methods of obtaining financing, including applying for subsidies and grants.</w:t>
      </w:r>
    </w:p>
    <w:p>
      <w:pPr>
        <w:spacing w:after="0" w:line="190"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There is no certainty that Sono Group will be successful in obtaining sufficient funding through additional public offerings of equity. If Sono Group is unable to obtain additional funding from public offerings, management would consider entering into equity facilities with a financial institution; however, the ability of the Sono Group to raise necessary funds through these or any other means is subject to uncertainty and is not assured. If the Group is unsuccessful in raising the planned capital through equity facilities, Sono Group’s management will be forced, and is committed, to substantial cost-cutting measures in order to maintain minimum liquidity of</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7"/>
          <w:szCs w:val="17"/>
          <w:color w:val="auto"/>
        </w:rPr>
        <w:t>the Company within the twelve-month period from the issuance date of these financial statements. Risks and uncertainties related to the supply chain, cost development, technical challenges (e.g. homologation certification), the ongoing corona pandemic and the war in Ukraine may also negatively affect the Group’s business, liquidity and financial position going forward (see note 8.1.3 Liquidity risk).</w:t>
      </w:r>
    </w:p>
    <w:p>
      <w:pPr>
        <w:spacing w:after="0" w:line="160" w:lineRule="exact"/>
        <w:rPr>
          <w:sz w:val="20"/>
          <w:szCs w:val="20"/>
          <w:color w:val="auto"/>
        </w:rPr>
      </w:pPr>
    </w:p>
    <w:p>
      <w:pPr>
        <w:jc w:val="both"/>
        <w:ind w:right="120" w:firstLine="318"/>
        <w:spacing w:after="0" w:line="260" w:lineRule="auto"/>
        <w:rPr>
          <w:sz w:val="20"/>
          <w:szCs w:val="20"/>
          <w:color w:val="auto"/>
        </w:rPr>
      </w:pPr>
      <w:r>
        <w:rPr>
          <w:rFonts w:ascii="Times New Roman" w:cs="Times New Roman" w:eastAsia="Times New Roman" w:hAnsi="Times New Roman"/>
          <w:sz w:val="18"/>
          <w:szCs w:val="18"/>
          <w:color w:val="auto"/>
        </w:rPr>
        <w:t>As discussed above, Sono Group will need to raise substantial additional capital to finance its future operations, which is not assured, and has consequently concluded that there is substantial doubt about its ability to continue as a going concern. The financial statements do not include any adjustments that might result from the outcome of this uncertainty.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4.13.2  Remuneration based on shares (share-based payment)</w:t>
      </w:r>
    </w:p>
    <w:p>
      <w:pPr>
        <w:spacing w:after="0" w:line="220"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For equity-settled share-based payment transactions (see note 4.11 Share-based payment), on grant date, Sono Group initially measures the fair value of the received services by reference to the fair value of the equity instruments granted. The fair value measurement of the share options for the equity-settled share-based transactions requires assumptions about the input data for using Black-Scholes Model. The expected life of the share options is based on current expectations and is not necessarily indicative of exercise patterns that may occur. The expected volatility was based on an evaluation of historical volatilities of comparable listed peer group companies. The expected volatility reflects the assumption that the historical volatility over a period similar to the life of the options is indicative of future trends, which may not necessarily be the actual outcome. For further details about the input factors used see note 9.3 Remuneration based on shares (share-based payment).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4.13.3  Corona pandemic</w:t>
      </w:r>
    </w:p>
    <w:p>
      <w:pPr>
        <w:spacing w:after="0" w:line="22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2020, COVID-19 caused a global pandemic. At the end of 2021, the pandemic was still present. In response to this pandemic, governments as well as private organizations implemented numerous measures seeking to contain the virus. These measures disrupted the manufacturing, delivery and overall supply chain of vehicle manufacturers and suppliers and led to a global decrease in vehicle sales. These measures have also led to a trend to work-from-home, which could result in a lower demand for cars in the future and negatively impact the Group’s sales and marketing activities. The pandemic may also affect the interest of Sono Group’s customers in their car-sharing and ride-pooling networks. Sono Motors cannot yet foresee the full extent of COVID-19’s impact on its business and operations and such impact will depend on future developments of the outbreak, including new information concerning the global severity of and actions taken to contain the outbreak and any future mutations of the virus, which are highly uncertain and unpredictable. The virus could have a material impact on Sono Group’s ability to raise additional liquidity to the extent needed and capital management. Sono Group will continue to monitor the situation and the effects of this development on its liquidity and capital management. At the same time, Sono Group has taken actions to maintain operations and protect employees from infection. Since 2020, COVID-19 has had a slightly negative impact on orders and advance payments received from customers. Based on the most recent available information, COVID-19 might continue to have a negative effect on orders and advance payments received from customers in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4.13.4  Russo-Ukrainian war</w:t>
      </w:r>
    </w:p>
    <w:p>
      <w:pPr>
        <w:spacing w:after="0" w:line="220" w:lineRule="exact"/>
        <w:rPr>
          <w:sz w:val="20"/>
          <w:szCs w:val="20"/>
          <w:color w:val="auto"/>
        </w:rPr>
      </w:pPr>
    </w:p>
    <w:p>
      <w:pPr>
        <w:jc w:val="both"/>
        <w:ind w:right="40" w:firstLine="318"/>
        <w:spacing w:after="0" w:line="251" w:lineRule="auto"/>
        <w:rPr>
          <w:sz w:val="20"/>
          <w:szCs w:val="20"/>
          <w:color w:val="auto"/>
        </w:rPr>
      </w:pPr>
      <w:r>
        <w:rPr>
          <w:rFonts w:ascii="Times New Roman" w:cs="Times New Roman" w:eastAsia="Times New Roman" w:hAnsi="Times New Roman"/>
          <w:sz w:val="18"/>
          <w:szCs w:val="18"/>
          <w:color w:val="auto"/>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could have a material impact on our results of operations, liquidity, and capital management. We will continue to monitor the situation and the effect of this development on our liquidity and capital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4.13.5  Sono Points</w:t>
      </w:r>
    </w:p>
    <w:p>
      <w:pPr>
        <w:spacing w:after="0" w:line="220"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Sono Motors has carried out several crowdfunding campaigns in which the Sion could be reserved against an advance payment received from customers of various amounts. With the reservation, the customer is entitled to the right to enter a contract for the purchase of the Sion. However, Sono Motors is not obliged to deliver a vehicle to the customer. Instead, the customer can withdraw from the reservation if he or she decides not to conclude the purchase contract or Sono Motors has not offered a purchase contract by the respective date defined by the underlying terms and conditions. In December 2020, a crowdfunding campaign with the aim of raising a predefined target amount was launched. In connection with the campaign, so-called Sono Points were introduced and communicated on December 15, 2020. The three founders, Laurin Hahn, Navina Persteiner and Jona Christians, announced that they would be giving a majority of their profit participation rights (for clarification: the voting rights remain with the founders), amounting</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to 64.07 % of all profit participation rights (as of December 31, 2019) to a “community pool”, from which the so-called Sono Points would be awarded. The number of Sono Points, through which the participants in the crowdfunding and pre-orders can participate in the community pool, is significantly influenced by the time and amount of the individual deposit. The maximum number of possible Sono Points in total is not limited. In case a Sono Point holder should revoke or withdraw from the reservation or should revoke or withdraw from the purchase contract concluded based on the reservation, the Sono Points will expire.</w:t>
      </w:r>
    </w:p>
    <w:p>
      <w:pPr>
        <w:spacing w:after="0" w:line="182"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According to current legal assessments, management concludes that Sono Points do not impact Sono Group as the obligation relates only to the founders.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4.13.6  Recoverability of deferred tax assets in relation to loss carryforwards</w:t>
      </w:r>
    </w:p>
    <w:p>
      <w:pPr>
        <w:spacing w:after="0" w:line="220"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Management has determined that these tax losses represent start-up losses as a result of establishing Sono Motors’ business. The tax losses can be carried forward indefinitely and have no expiry date. Management does not expect a (proportional) reduction of deductible tax loss carryforwards due to any future corporate restructuring or due to the various capital measures, especially the IPO, in 2021. For further details, please refer to note 1 General information. Management expects that the “hidden reserves clause” can be asserted and that the tax losses can still be carried forward.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220"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for which discrete financial information is available and whose operating results are regularly reviewed by management (chief operating decision maker within the meaning of IFRS 8). Sono Motors is a start-up company that has not yet started production. As all significant activities of the Group relate to the development of the electrical car Sion and management makes decisions about allocating resources and assessing performance based on the entity as a whole, Management has determined that Sono Group operates in one operating and reportable business segment. Furthermore, Sono Group is currently almost exclusively active in Germany, however, noncurrent assets are in Germany (kEUR 3,899) and Finland (kEUR 898). Thus, Sono Group does not report any additional segment information.</w:t>
      </w:r>
    </w:p>
    <w:p>
      <w:pPr>
        <w:spacing w:after="0" w:line="18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For the distribution of revenues across products, please refer to note 6.1 Revenue and cost of goods sold. Revenues from the integration of solar technology across different platforms (kEUR 11, 2020: kEUR -, 2019: kEUR -) results from two different customers, each of which has a share of revenues greater than ten percent. These customers are located in Germany (kEUR 2, 2020: kEUR -, 2019: kEUR -) and the United States (kEUR 9, 2020: kEUR -, 2019: kEUR -).</w:t>
      </w:r>
    </w:p>
    <w:p>
      <w:pPr>
        <w:spacing w:after="0" w:line="180" w:lineRule="exact"/>
        <w:rPr>
          <w:sz w:val="20"/>
          <w:szCs w:val="20"/>
          <w:color w:val="auto"/>
        </w:rPr>
      </w:pPr>
    </w:p>
    <w:p>
      <w:pPr>
        <w:ind w:right="5260" w:firstLine="7"/>
        <w:spacing w:after="0" w:line="493" w:lineRule="auto"/>
        <w:tabs>
          <w:tab w:leader="none" w:pos="191"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Disclosures to the consolidated statements of income or loss 6.1 Revenue and cost of goods sold</w:t>
      </w:r>
    </w:p>
    <w:p>
      <w:pPr>
        <w:spacing w:after="0" w:line="1"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Revenues in the amount of kEUR 11 (2020: kEUR -, 2019: kEUR -) and cost of goods sold in the amount of kEUR 52 (2020: kEUR -, 2019: kEUR -) relate to the first contracts to explore the integration of Sono Motors’ patented solar technology across other transportation platforms, which were signed and executed in 2021. Revenues in the amount of kEUR 5 (2020: kEUR -, 2019: kEUR -) and cost of goods sold in the amount of kEUR 6 (2020: kEUR -, 2019: kEUR -) are connected with the launch of Sono app which provides an in-app booking and payment system as well as additional insurance if required. Trade receivables in the amount of kEUR 20 (previous year: kEUR -) result from these activities.</w:t>
      </w:r>
    </w:p>
    <w:p>
      <w:pPr>
        <w:spacing w:after="0" w:line="187" w:lineRule="exact"/>
        <w:rPr>
          <w:sz w:val="20"/>
          <w:szCs w:val="20"/>
          <w:color w:val="auto"/>
        </w:rPr>
      </w:pPr>
    </w:p>
    <w:p>
      <w:pPr>
        <w:ind w:right="180" w:firstLine="318"/>
        <w:spacing w:after="0" w:line="260" w:lineRule="auto"/>
        <w:rPr>
          <w:sz w:val="20"/>
          <w:szCs w:val="20"/>
          <w:color w:val="auto"/>
        </w:rPr>
      </w:pPr>
      <w:r>
        <w:rPr>
          <w:rFonts w:ascii="Times New Roman" w:cs="Times New Roman" w:eastAsia="Times New Roman" w:hAnsi="Times New Roman"/>
          <w:sz w:val="18"/>
          <w:szCs w:val="18"/>
          <w:color w:val="auto"/>
        </w:rPr>
        <w:t>As of the reporting date and as of the end of the previous year, no contract assets or liabilities resulted from these activities. As of the reporting date, the aggregate amount of the transaction price allocated to unsatisfied performance obligations amounts to kEUR 42 (previous year: kEUR -). The Group expects to recognize this amount as revenue within one year of the reporting date.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Cost of research and development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details on the cost of research and development:</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39"/>
        </w:trPr>
        <w:tc>
          <w:tcPr>
            <w:tcW w:w="49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4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Development cost of prototypes</w:t>
            </w: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27,632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8,234</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2,102</w:t>
            </w:r>
          </w:p>
        </w:tc>
      </w:tr>
      <w:tr>
        <w:trPr>
          <w:trHeight w:val="21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thereof related to the CSOP (IFRS 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6"/>
        </w:trPr>
        <w:tc>
          <w:tcPr>
            <w:tcW w:w="498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40,609</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30,469</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4,937</w:t>
            </w:r>
          </w:p>
        </w:tc>
      </w:tr>
    </w:tbl>
    <w:p>
      <w:pPr>
        <w:spacing w:after="0" w:line="194"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There are no research expenses included in the profit and loss of Sono Group in the financial year 2021 and prior periods, as the Group does not perform research. As the recognition criteria for development cost have not been met, all development expenses were recognized in profit or loss as incurred in the reporting year and the previous years. The personnel expenses concern employees responsible for development activities and the share of the employee participation program (Conversion Stock Option Program or CSOP) attributable to them (see note 9.3 Remuneration based on shares (share-based payment).</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Selling and distribution expenses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details included in selling and distribution expenses: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39"/>
        </w:trPr>
        <w:tc>
          <w:tcPr>
            <w:tcW w:w="49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4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Personnel expenses</w:t>
            </w: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1,764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8,490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1,582</w:t>
            </w:r>
          </w:p>
        </w:tc>
      </w:tr>
      <w:tr>
        <w:trPr>
          <w:trHeight w:val="21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thereof related to the CSOP (IFRS 2)</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6"/>
        </w:trPr>
        <w:tc>
          <w:tcPr>
            <w:tcW w:w="498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3,220</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9,100</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2,135</w:t>
            </w:r>
          </w:p>
        </w:tc>
      </w:tr>
    </w:tbl>
    <w:p>
      <w:pPr>
        <w:spacing w:after="0" w:line="194"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8"/>
          <w:szCs w:val="18"/>
          <w:color w:val="auto"/>
        </w:rPr>
        <w:t>The personnel expenses concern mainly employees responsible for marketing activities like roadshows, test rides and social media and (previous year only) the share of the employee participation program (Conversion Stock Option Program or CSOP) attributable to them (see note 9.3 Remuneration based on shares (share-based payment).</w:t>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General and administrative expenses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details included in general and administrative expenses: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39"/>
        </w:trPr>
        <w:tc>
          <w:tcPr>
            <w:tcW w:w="49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4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Professional services</w:t>
            </w: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7,030</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4,830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670</w:t>
            </w:r>
          </w:p>
        </w:tc>
      </w:tr>
      <w:tr>
        <w:trPr>
          <w:trHeight w:val="21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thereof related to the CSOP (IFRS 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without sufficient supporting documentation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06"/>
        </w:trPr>
        <w:tc>
          <w:tcPr>
            <w:tcW w:w="49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15,094</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14,404</w:t>
            </w:r>
          </w:p>
        </w:tc>
        <w:tc>
          <w:tcPr>
            <w:tcW w:w="1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2,417</w:t>
            </w:r>
          </w:p>
        </w:tc>
      </w:tr>
    </w:tbl>
    <w:p>
      <w:pPr>
        <w:spacing w:after="0" w:line="19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personnel expenses concern mainly employees responsible for Finance, Human Resources, Business Development, Administration etc. and the share of the employee participation program (Conversion Stock Option Program or CSOP) attributable to them (see note 9.3 Remuneration based on shares (share-based payment). The professional services include accounting, tax and legal services as well as other external services. The increase of expenses for professional services mainly concerns professional services</w:t>
      </w:r>
    </w:p>
    <w:p>
      <w:pPr>
        <w:sectPr>
          <w:pgSz w:w="11900" w:h="16838" w:orient="portrait"/>
          <w:cols w:equalWidth="0" w:num="1">
            <w:col w:w="9900"/>
          </w:cols>
          <w:pgMar w:left="980" w:top="506" w:right="1019"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related to the preparation of consolidated financial statements and consolidated interim reports in accordance with IFRS and their audit and review under consideration of PCAOB requirements as well as legal and tax opinions prepared in this context.</w:t>
      </w:r>
    </w:p>
    <w:p>
      <w:pPr>
        <w:spacing w:after="0" w:line="164"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In 2021, an impairment loss of kEUR 1,965 for assets intended for the development of prototypes has been recognized in general and administrative expenses. For details, please refer to section 7.2 Property, plant and equipment. An amount of kEUR 2,690 for professional services received in connection with the IPO was not recognized in general and administrative expenses but deducted from capital reserves. Furthermore, kEUR 135 for professional services in connection with the IPO received in the previous year were accrued as a current non-financial asset in the previous year and deducted from capital reserve in the reporting year.</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Additional information on the nature of expenses</w:t>
      </w:r>
    </w:p>
    <w:p>
      <w:pPr>
        <w:spacing w:after="0" w:line="220"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below table displays the depreciation and amortization expenses as well as personnel expenses included in cost of research and development, selling and distribution costs and general and administrative expenses:</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39"/>
        </w:trPr>
        <w:tc>
          <w:tcPr>
            <w:tcW w:w="49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4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Personnel expenses</w:t>
            </w: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17,678</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39,291</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5,151</w:t>
            </w: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thereof related to CSOP (IFRS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06"/>
        </w:trPr>
        <w:tc>
          <w:tcPr>
            <w:tcW w:w="498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18,252</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39,675</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5,375</w:t>
            </w:r>
          </w:p>
        </w:tc>
      </w:tr>
    </w:tbl>
    <w:p>
      <w:pPr>
        <w:spacing w:after="0" w:line="19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The decrease of personnel expenses (kEUR -21,613) is due to the equity-settled employee participation program in 2021 (Conversion Stock Option Program or CSOP), which had a lower effect in 2021, as compared to the previous year (2021: kEUR 1,898, 2020: kEUR 32,160, 2019: kEUR -). The decrease is attributable to the fact that the program has been offered to all participants of the previous employee participation program and new participants, who have not been part of the previous employee participation program, on December 14, 2020 (see note 9.3 Remuneration based on shares (share-based payment) and most share options were fully vested at the end of the previous year. In 2021, expenses were recognized only for a small number of options that had not yet vested at the end of the previous year. The resulting decrease is partly offset by increased personnel costs due to an increase in the number of employees in the reporting year.</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Other operating income (expenses)</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Other operating income (kEUR 269, 2020: kEUR 334, 2019: kEUR 220) mainly includes government grants (kEUR 71, 2020: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kEUR 68, 2019: kEUR 15), miscellaneous other operating income (kEUR 125, 2020: kEUR -; 2019: kEUR -) and agency fees from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Renault ZOE conversion (kEUR 47, 2020: kEUR 240, 2019: kEUR -).</w:t>
      </w:r>
    </w:p>
    <w:p>
      <w:pPr>
        <w:spacing w:after="0" w:line="198"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In 2020, Sono Motors entered into a framework agreement with Renault Deutschland AG (Renault) for electric vehicles (Renault ZOE). According to the agreement, customers, who have made advance payments for the Sion, can enter into a lease agreement with Renault for a Renault ZOE and use their advance payments to partly offset their lease payments. Customers can use advance payments made up to EUR 4,000. According to the framework agreement with Renault, Sono Group receives a fixed agency fee per lease contract and transfers the advance payment to Renault. Sono Group recognizes the respective agency fee as operating income and derecognizes the advance payment received in the moment the customer enters into the lease contract with Renault.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government grants relate to a grant that Sono Motors received from the EU to promote the development of open-source hardware.</w:t>
      </w:r>
    </w:p>
    <w:p>
      <w:pPr>
        <w:spacing w:after="0" w:line="229" w:lineRule="exact"/>
        <w:rPr>
          <w:sz w:val="20"/>
          <w:szCs w:val="20"/>
          <w:color w:val="auto"/>
        </w:rPr>
      </w:pPr>
    </w:p>
    <w:p>
      <w:pPr>
        <w:jc w:val="both"/>
        <w:ind w:right="20" w:firstLine="318"/>
        <w:spacing w:after="0" w:line="260" w:lineRule="auto"/>
        <w:rPr>
          <w:sz w:val="20"/>
          <w:szCs w:val="20"/>
          <w:color w:val="auto"/>
        </w:rPr>
      </w:pPr>
      <w:r>
        <w:rPr>
          <w:rFonts w:ascii="Times New Roman" w:cs="Times New Roman" w:eastAsia="Times New Roman" w:hAnsi="Times New Roman"/>
          <w:sz w:val="18"/>
          <w:szCs w:val="18"/>
          <w:color w:val="auto"/>
        </w:rPr>
        <w:t>Other operating expenses in the reporting year amount to kEUR 452 and result mainly from foreign exchange losses resulting from the conversion of a portion of the IPO proceeds from USD to EUR. In 2020, other operating expenses amounted to kEUR 349 (2019: kEUR -) and solely included expenses related to a project termination with a supplier. In 2019, there were no other operating expenses.</w:t>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b w:val="1"/>
          <w:bCs w:val="1"/>
          <w:color w:val="auto"/>
        </w:rPr>
        <w:t>Impairment losses on financial assets</w:t>
      </w:r>
    </w:p>
    <w:p>
      <w:pPr>
        <w:spacing w:after="0" w:line="22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Impairment losses on financial assets (kEUR 6, 2020: kEUR 6, 2019: kEUR -) primarily relate to bank balances (see note 7.7 Cash and cash equivalents). For details on expected credit losses, please refer to note 8.1.2 Credit risk.</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06" w:right="10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b w:val="1"/>
          <w:bCs w:val="1"/>
          <w:color w:val="auto"/>
        </w:rPr>
        <w:t>Interest and similar income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and similar income (kEUR -, 2020: kEUR 2, 2019: kEUR -) relates to interest income from VAT.</w:t>
      </w:r>
    </w:p>
    <w:p>
      <w:pPr>
        <w:spacing w:after="0" w:line="2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7"/>
          <w:szCs w:val="17"/>
          <w:b w:val="1"/>
          <w:bCs w:val="1"/>
          <w:color w:val="auto"/>
        </w:rPr>
        <w:t>Interest and similar expense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Interest and similar expense (kEUR 4,781, 2020: kEUR 2,040, 2019: kEUR 702) largely consists of interest and other expenses related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financial liabilities (kEUR 3,227, 2020: kEUR 614, 2019: kEUR 287) and the net compounding effect for advance payments received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customers (kEUR 1,497, 2020: kEUR 1,360, 2019: kEUR 415, see note 4.8 Advance payments received from customers).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6.10 Tax on income and earnings</w:t>
      </w:r>
    </w:p>
    <w:p>
      <w:pPr>
        <w:spacing w:after="0" w:line="220"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Taxes on income kEUR -18 (2020: kEUR -; 2019: kEUR -) relate to deferred tax expenses at the level of Sono N.V. as the recognition of deferred tax assets on loss carryforwards has been recognized proportionately in equity instead of the income statement.</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tables display the changes in deferred tax assets and liabilities: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2019</w:t>
            </w:r>
          </w:p>
        </w:tc>
      </w:tr>
      <w:tr>
        <w:trPr>
          <w:trHeight w:val="139"/>
        </w:trPr>
        <w:tc>
          <w:tcPr>
            <w:tcW w:w="49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r>
      <w:tr>
        <w:trPr>
          <w:trHeight w:val="206"/>
        </w:trPr>
        <w:tc>
          <w:tcPr>
            <w:tcW w:w="4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Deferred tax assets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tax loss carryforwards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advance payments received from customers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8"/>
                <w:szCs w:val="18"/>
                <w:color w:val="auto"/>
              </w:rPr>
            </w:pP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lease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tcPr>
          <w:p>
            <w:pPr>
              <w:spacing w:after="0"/>
              <w:rPr>
                <w:sz w:val="18"/>
                <w:szCs w:val="18"/>
                <w:color w:val="auto"/>
              </w:rPr>
            </w:pP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current provisions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current other non-financial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current financial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current other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cash &amp; cash deposits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current other financial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prepaid expenses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6"/>
        </w:trPr>
        <w:tc>
          <w:tcPr>
            <w:tcW w:w="498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Deferred tax assets</w:t>
            </w: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2,400</w:t>
            </w:r>
          </w:p>
        </w:tc>
        <w:tc>
          <w:tcPr>
            <w:tcW w:w="1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1,452</w:t>
            </w:r>
          </w:p>
        </w:tc>
        <w:tc>
          <w:tcPr>
            <w:tcW w:w="1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17"/>
                <w:szCs w:val="17"/>
                <w:color w:val="auto"/>
              </w:rPr>
            </w:pPr>
          </w:p>
        </w:tc>
      </w:tr>
      <w:tr>
        <w:trPr>
          <w:trHeight w:val="206"/>
        </w:trPr>
        <w:tc>
          <w:tcPr>
            <w:tcW w:w="4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leases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8"/>
                <w:szCs w:val="18"/>
                <w:color w:val="auto"/>
              </w:rPr>
            </w:pP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cash &amp; cash deposits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property, plant and equipment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2"/>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noncurrent other non-financial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due to other noncurrent financial liabilities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06"/>
        </w:trPr>
        <w:tc>
          <w:tcPr>
            <w:tcW w:w="4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1,138</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761</w:t>
            </w:r>
          </w:p>
        </w:tc>
        <w:tc>
          <w:tcPr>
            <w:tcW w:w="1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7"/>
                <w:szCs w:val="17"/>
                <w:color w:val="auto"/>
              </w:rPr>
            </w:pPr>
          </w:p>
        </w:tc>
      </w:tr>
      <w:tr>
        <w:trPr>
          <w:trHeight w:val="206"/>
        </w:trPr>
        <w:tc>
          <w:tcPr>
            <w:tcW w:w="49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Non-recognition of deferred tax assets</w:t>
            </w: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(1,262)</w:t>
            </w:r>
          </w:p>
        </w:tc>
        <w:tc>
          <w:tcPr>
            <w:tcW w:w="14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(691)</w:t>
            </w:r>
          </w:p>
        </w:tc>
        <w:tc>
          <w:tcPr>
            <w:tcW w:w="140" w:type="dxa"/>
            <w:vAlign w:val="bottom"/>
          </w:tcPr>
          <w:p>
            <w:pPr>
              <w:spacing w:after="0"/>
              <w:rPr>
                <w:sz w:val="17"/>
                <w:szCs w:val="17"/>
                <w:color w:val="auto"/>
              </w:rPr>
            </w:pPr>
          </w:p>
        </w:tc>
        <w:tc>
          <w:tcPr>
            <w:tcW w:w="9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7"/>
                <w:szCs w:val="17"/>
                <w:color w:val="auto"/>
              </w:rPr>
            </w:pPr>
          </w:p>
        </w:tc>
      </w:tr>
      <w:tr>
        <w:trPr>
          <w:trHeight w:val="21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deferred tax assets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8"/>
                <w:szCs w:val="18"/>
                <w:color w:val="auto"/>
              </w:rPr>
            </w:pPr>
          </w:p>
        </w:tc>
      </w:tr>
      <w:tr>
        <w:trPr>
          <w:trHeight w:val="206"/>
        </w:trPr>
        <w:tc>
          <w:tcPr>
            <w:tcW w:w="49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Deferred tax assets/liabilities, net</w:t>
            </w: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bl>
    <w:p>
      <w:pPr>
        <w:spacing w:after="0" w:line="194"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Given the loss history of Sono Motors, deferred tax assets are not recognized on the balance sheet. The amount of deferred tax assets / liabilities as of December 31, 2020 and December 31, 2021 is zero.</w:t>
      </w:r>
    </w:p>
    <w:p>
      <w:pPr>
        <w:spacing w:after="0" w:line="164" w:lineRule="exact"/>
        <w:rPr>
          <w:sz w:val="20"/>
          <w:szCs w:val="20"/>
          <w:color w:val="auto"/>
        </w:rPr>
      </w:pPr>
    </w:p>
    <w:p>
      <w:pPr>
        <w:ind w:right="100" w:firstLine="318"/>
        <w:spacing w:after="0" w:line="260" w:lineRule="auto"/>
        <w:rPr>
          <w:sz w:val="20"/>
          <w:szCs w:val="20"/>
          <w:color w:val="auto"/>
        </w:rPr>
      </w:pPr>
      <w:r>
        <w:rPr>
          <w:rFonts w:ascii="Times New Roman" w:cs="Times New Roman" w:eastAsia="Times New Roman" w:hAnsi="Times New Roman"/>
          <w:sz w:val="18"/>
          <w:szCs w:val="18"/>
          <w:color w:val="auto"/>
        </w:rPr>
        <w:t>Of the gross deferred tax assets, kEUR 314 as of December 31, 2021 (previous year: kEUR 806) are current and of the gross deferred tax liabilities, kEUR 47 as of December 31, 2021 (Previous year: kEUR 73) are current. Current deferred taxes are reported under non-current assets and non-current liabilities.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no deferred taxes with regard to Outside Basis Differences as those are permanent differences.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06" w:right="10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of temporary differences on balance sheet positions for which no deferred tax asset has been recognized is displayed in the table below:</w:t>
      </w:r>
    </w:p>
    <w:p>
      <w:pPr>
        <w:sectPr>
          <w:pgSz w:w="11900" w:h="16838" w:orient="portrait"/>
          <w:cols w:equalWidth="0" w:num="1">
            <w:col w:w="9920"/>
          </w:cols>
          <w:pgMar w:left="980" w:top="506" w:right="999" w:bottom="1440" w:gutter="0" w:footer="0" w:header="0"/>
        </w:sectPr>
      </w:pPr>
    </w:p>
    <w:p>
      <w:pPr>
        <w:spacing w:after="0" w:line="171"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6350</wp:posOffset>
            </wp:positionV>
            <wp:extent cx="6400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0080" cy="8255"/>
                    </a:xfrm>
                    <a:prstGeom prst="rect">
                      <a:avLst/>
                    </a:prstGeom>
                    <a:noFill/>
                  </pic:spPr>
                </pic:pic>
              </a:graphicData>
            </a:graphic>
          </wp:anchor>
        </w:drawing>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Dec.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6350</wp:posOffset>
            </wp:positionV>
            <wp:extent cx="6400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008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7640" w:space="380"/>
            <w:col w:w="1900"/>
          </w:cols>
          <w:pgMar w:left="980" w:top="506" w:right="999" w:bottom="1440" w:gutter="0" w:footer="0" w:header="0"/>
          <w:type w:val="continuous"/>
        </w:sectPr>
      </w:pPr>
    </w:p>
    <w:tbl>
      <w:tblPr>
        <w:tblLayout w:type="fixed"/>
        <w:tblInd w:w="1000" w:type="dxa"/>
        <w:tblCellMar>
          <w:top w:w="0" w:type="dxa"/>
          <w:left w:w="0" w:type="dxa"/>
          <w:bottom w:w="0" w:type="dxa"/>
          <w:right w:w="0" w:type="dxa"/>
        </w:tblCellMar>
      </w:tblPr>
      <w:tr>
        <w:trPr>
          <w:trHeight w:val="206"/>
        </w:trPr>
        <w:tc>
          <w:tcPr>
            <w:tcW w:w="57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customers</w:t>
            </w: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1,928</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966</w:t>
            </w: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1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Current other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&amp; cash deposits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06"/>
        </w:trPr>
        <w:tc>
          <w:tcPr>
            <w:tcW w:w="57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3,887</w:t>
            </w:r>
          </w:p>
        </w:tc>
        <w:tc>
          <w:tcPr>
            <w:tcW w:w="1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2,093</w:t>
            </w:r>
          </w:p>
        </w:tc>
      </w:tr>
      <w:tr>
        <w:trPr>
          <w:trHeight w:val="206"/>
        </w:trPr>
        <w:tc>
          <w:tcPr>
            <w:tcW w:w="57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Potential tax benefit at a total tax rate of 32,98 %</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1,282</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690</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 of unused tax losses for which no deferred tax asset has been recognized is displayed in the table below:</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 31, 2020</w:t>
            </w:r>
          </w:p>
        </w:tc>
      </w:tr>
      <w:tr>
        <w:trPr>
          <w:trHeight w:val="139"/>
        </w:trPr>
        <w:tc>
          <w:tcPr>
            <w:tcW w:w="57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3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3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174"/>
        </w:trPr>
        <w:tc>
          <w:tcPr>
            <w:tcW w:w="57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Unused tax losses for which no deferred tax asset has been recognized</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tax)</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111,950</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51,316</w:t>
            </w:r>
          </w:p>
        </w:tc>
      </w:tr>
      <w:tr>
        <w:trPr>
          <w:trHeight w:val="194"/>
        </w:trPr>
        <w:tc>
          <w:tcPr>
            <w:tcW w:w="5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Unused tax losses for which no deferred tax asset has been recognized (trade</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1"/>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111,565</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51,083</w:t>
            </w:r>
          </w:p>
        </w:tc>
      </w:tr>
      <w:tr>
        <w:trPr>
          <w:trHeight w:val="21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tax benefit at a total tax rate of 32.98 %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w:t>
            </w:r>
          </w:p>
        </w:tc>
      </w:tr>
    </w:tbl>
    <w:p>
      <w:pPr>
        <w:spacing w:after="0" w:line="19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2021, KEUR 937 (Previous year: kEUR 723) deferred tax assets on transactions costs would have been recognized directly in equity if deferred tax assets had been recognized on losses carryforwards in full. As of December 31, 2021, kEUR 54 (previous year: kEUR -) deferred tax assets on loss carryforwards have been recognized, of which kEUR 18 (previous year: kEUR -) deferred tax assets on transactions costs have been recognized directly in equity.</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numerical reconciliation of expected to effective income tax.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4"/>
                <w:szCs w:val="14"/>
                <w:color w:val="auto"/>
              </w:rPr>
            </w:pPr>
          </w:p>
        </w:tc>
      </w:tr>
      <w:tr>
        <w:trPr>
          <w:trHeight w:val="139"/>
        </w:trPr>
        <w:tc>
          <w:tcPr>
            <w:tcW w:w="1000" w:type="dxa"/>
            <w:vAlign w:val="bottom"/>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r>
      <w:tr>
        <w:trPr>
          <w:trHeight w:val="206"/>
        </w:trPr>
        <w:tc>
          <w:tcPr>
            <w:tcW w:w="1000" w:type="dxa"/>
            <w:vAlign w:val="bottom"/>
          </w:tcPr>
          <w:p>
            <w:pPr>
              <w:spacing w:after="0"/>
              <w:rPr>
                <w:sz w:val="17"/>
                <w:szCs w:val="17"/>
                <w:color w:val="auto"/>
              </w:rPr>
            </w:pPr>
          </w:p>
        </w:tc>
        <w:tc>
          <w:tcPr>
            <w:tcW w:w="49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Income (loss) before tax for the period</w:t>
            </w: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(63,935)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(56,032)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(9,971)</w:t>
            </w:r>
          </w:p>
        </w:tc>
        <w:tc>
          <w:tcPr>
            <w:tcW w:w="20" w:type="dxa"/>
            <w:vAlign w:val="bottom"/>
          </w:tcPr>
          <w:p>
            <w:pPr>
              <w:spacing w:after="0"/>
              <w:rPr>
                <w:sz w:val="17"/>
                <w:szCs w:val="17"/>
                <w:color w:val="auto"/>
              </w:rPr>
            </w:pPr>
          </w:p>
        </w:tc>
      </w:tr>
      <w:tr>
        <w:trPr>
          <w:trHeight w:val="194"/>
        </w:trPr>
        <w:tc>
          <w:tcPr>
            <w:tcW w:w="1000" w:type="dxa"/>
            <w:vAlign w:val="bottom"/>
          </w:tcPr>
          <w:p>
            <w:pPr>
              <w:spacing w:after="0"/>
              <w:rPr>
                <w:sz w:val="16"/>
                <w:szCs w:val="16"/>
                <w:color w:val="auto"/>
              </w:rPr>
            </w:pPr>
          </w:p>
        </w:tc>
        <w:tc>
          <w:tcPr>
            <w:tcW w:w="4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Expected income tax (income (-)/expense (+) at a tax rate of 32.98</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2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(21,086)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(18,479)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(3,288)</w:t>
            </w:r>
          </w:p>
        </w:tc>
      </w:tr>
      <w:tr>
        <w:trPr>
          <w:trHeight w:val="212"/>
        </w:trPr>
        <w:tc>
          <w:tcPr>
            <w:tcW w:w="100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Changes in unrecognized tax losses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deferred taxes on timing differences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MCN non-tax-deductible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CSOP non-tax-deductible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Tax-deductible transaction costs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Non-tax-deductible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r>
      <w:tr>
        <w:trPr>
          <w:trHeight w:val="206"/>
        </w:trPr>
        <w:tc>
          <w:tcPr>
            <w:tcW w:w="1000" w:type="dxa"/>
            <w:vAlign w:val="bottom"/>
          </w:tcPr>
          <w:p>
            <w:pPr>
              <w:spacing w:after="0"/>
              <w:rPr>
                <w:sz w:val="17"/>
                <w:szCs w:val="17"/>
                <w:color w:val="auto"/>
              </w:rPr>
            </w:pPr>
          </w:p>
        </w:tc>
        <w:tc>
          <w:tcPr>
            <w:tcW w:w="4980" w:type="dxa"/>
            <w:vAlign w:val="bottom"/>
            <w:tcBorders>
              <w:top w:val="single" w:sz="8" w:color="CCEEFF"/>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Effective income tax income for the period</w:t>
            </w:r>
          </w:p>
        </w:tc>
        <w:tc>
          <w:tcPr>
            <w:tcW w:w="8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99"/>
        </w:trPr>
        <w:tc>
          <w:tcPr>
            <w:tcW w:w="10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74" w:lineRule="exact"/>
        <w:rPr>
          <w:sz w:val="20"/>
          <w:szCs w:val="20"/>
          <w:color w:val="auto"/>
        </w:rPr>
      </w:pPr>
    </w:p>
    <w:p>
      <w:pPr>
        <w:ind w:left="320" w:hanging="313"/>
        <w:spacing w:after="0"/>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Convertible Notes</w:t>
      </w:r>
    </w:p>
    <w:p>
      <w:pPr>
        <w:spacing w:after="0" w:line="21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Sono N.V. is also fully taxable in Munich, Germany, the tax rate in 2019, 2020 and 2021 is unchanged.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Balance sheet disclosures</w:t>
      </w:r>
    </w:p>
    <w:p>
      <w:pPr>
        <w:spacing w:after="0" w:line="2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Website</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39"/>
        </w:trPr>
        <w:tc>
          <w:tcPr>
            <w:tcW w:w="7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7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Historical cost</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 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2"/>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 31, 2021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6"/>
        </w:trPr>
        <w:tc>
          <w:tcPr>
            <w:tcW w:w="7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Accumulated amortization</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 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 31, 2021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6"/>
        </w:trPr>
        <w:tc>
          <w:tcPr>
            <w:tcW w:w="7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Carrying Amount as of Jan. 1, 2021</w:t>
            </w:r>
          </w:p>
        </w:tc>
        <w:tc>
          <w:tcPr>
            <w:tcW w:w="7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w:t>
            </w:r>
          </w:p>
        </w:tc>
      </w:tr>
      <w:tr>
        <w:trPr>
          <w:trHeight w:val="206"/>
        </w:trPr>
        <w:tc>
          <w:tcPr>
            <w:tcW w:w="72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Carrying Amount as of Dec. 31, 2021</w:t>
            </w:r>
          </w:p>
        </w:tc>
        <w:tc>
          <w:tcPr>
            <w:tcW w:w="7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206</w:t>
            </w:r>
          </w:p>
        </w:tc>
      </w:tr>
      <w:tr>
        <w:trPr>
          <w:trHeight w:val="365"/>
        </w:trPr>
        <w:tc>
          <w:tcPr>
            <w:tcW w:w="724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Website</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39"/>
        </w:trPr>
        <w:tc>
          <w:tcPr>
            <w:tcW w:w="7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7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Historical cost</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 1,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 31,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6"/>
        </w:trPr>
        <w:tc>
          <w:tcPr>
            <w:tcW w:w="72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Accumulated amortization</w:t>
            </w: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1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 1,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 31,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6"/>
        </w:trPr>
        <w:tc>
          <w:tcPr>
            <w:tcW w:w="72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Carrying Amount as of Jan. 1, 2020</w:t>
            </w:r>
          </w:p>
        </w:tc>
        <w:tc>
          <w:tcPr>
            <w:tcW w:w="7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w:t>
            </w:r>
          </w:p>
        </w:tc>
      </w:tr>
      <w:tr>
        <w:trPr>
          <w:trHeight w:val="206"/>
        </w:trPr>
        <w:tc>
          <w:tcPr>
            <w:tcW w:w="72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Carrying Amount as of Dec. 31, 2020</w:t>
            </w:r>
          </w:p>
        </w:tc>
        <w:tc>
          <w:tcPr>
            <w:tcW w:w="7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16</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amortization expenses for the acquired intangible assets amounting to kEUR 34 (previous year: kEUR 11) are included in research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development (kEUR 22, previous year: kEUR -), selling and distribution costs (kEUR 4, previous year: kEUR 11) and general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(kEUR 8, previous year: kEUR -).</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Advance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payments for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 /</w:t>
            </w: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technical</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9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Hardware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machinery</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16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1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14"/>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Acquisition or manufacturing costs Jan. 1, 2021</w:t>
            </w:r>
          </w:p>
        </w:tc>
        <w:tc>
          <w:tcPr>
            <w:tcW w:w="2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1,965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Deductions</w:t>
            </w:r>
          </w:p>
        </w:tc>
        <w:tc>
          <w:tcPr>
            <w:tcW w:w="25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or manufacturing costs Dec. 31, 2021</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06"/>
        </w:trPr>
        <w:tc>
          <w:tcPr>
            <w:tcW w:w="41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Accumulated depreciation Jan. 1, 2021</w:t>
            </w:r>
          </w:p>
        </w:tc>
        <w:tc>
          <w:tcPr>
            <w:tcW w:w="2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Dec. 31, 2021</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6"/>
        </w:trPr>
        <w:tc>
          <w:tcPr>
            <w:tcW w:w="416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Carrying Amount Jan. 1, 2021</w:t>
            </w:r>
          </w:p>
        </w:tc>
        <w:tc>
          <w:tcPr>
            <w:tcW w:w="25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1,965</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Carrying Amount Dec. 31, 2021</w:t>
            </w:r>
          </w:p>
        </w:tc>
        <w:tc>
          <w:tcPr>
            <w:tcW w:w="25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779</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705</w:t>
            </w:r>
          </w:p>
        </w:tc>
        <w:tc>
          <w:tcPr>
            <w:tcW w:w="2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843"/>
        </w:trPr>
        <w:tc>
          <w:tcPr>
            <w:tcW w:w="4160" w:type="dxa"/>
            <w:vAlign w:val="bottom"/>
          </w:tcPr>
          <w:p>
            <w:pPr>
              <w:spacing w:after="0"/>
              <w:rPr>
                <w:sz w:val="24"/>
                <w:szCs w:val="24"/>
                <w:color w:val="auto"/>
              </w:rPr>
            </w:pPr>
          </w:p>
        </w:tc>
        <w:tc>
          <w:tcPr>
            <w:tcW w:w="36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F-41</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4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6"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Advance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payments to</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66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 /</w:t>
            </w: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technical</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Hardware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machinery</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6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1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66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Acquisition or manufacturing costs Jan. 1, 2020</w:t>
            </w:r>
          </w:p>
        </w:tc>
        <w:tc>
          <w:tcPr>
            <w:tcW w:w="9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239</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2,313</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or manufacturing costs Dec. 31,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06"/>
        </w:trPr>
        <w:tc>
          <w:tcPr>
            <w:tcW w:w="66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Accumulated depreciation Jan. 1, 2020</w:t>
            </w: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Dec. 31, 2020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Carrying Amount Jan. 1, 2020</w:t>
            </w:r>
          </w:p>
        </w:tc>
        <w:tc>
          <w:tcPr>
            <w:tcW w:w="9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156</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2,313</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06"/>
        </w:trPr>
        <w:tc>
          <w:tcPr>
            <w:tcW w:w="66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Carrying Amount Dec. 31, 2020</w:t>
            </w: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1,965</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depreciation expenses for property, plant and equipment amounting to kEUR 125 (2020: kEUR 61; 2019: kEUR 50) are included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research and development (kEUR 70, 2020: kEUR 28; 2019: kEUR 19), selling and distribution costs (kEUR 27, 2020: kEUR 15; 2019: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kEUR 18) and general and administrative expenses (kEUR 28, 2020: kEUR 18; 2019: kEUR 13).</w:t>
      </w:r>
    </w:p>
    <w:p>
      <w:pPr>
        <w:spacing w:after="0" w:line="198"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Additions to equipment and hardware in the amount of kEUR 254 as well as to advance payments in the amount of kEUR 634 refer to the equipment for the production of solar panels, which are currently located at the productional partner’s facilities but legally owned and economically controlled by Sono Group. The remaining additions to equipment and hardware refer mainly to office equipment and are associated with an increase of employees’ number.</w:t>
      </w:r>
    </w:p>
    <w:p>
      <w:pPr>
        <w:spacing w:after="0" w:line="182"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In the reporting period, Sono Group recognized an impairment of the advances paid in the amount of kEUR 1,965. The impairment loss of kEUR 1,965 included in the general and administrative expense relates to advance payments on assets intended for the tooling of batteries that had been recognized in 2020. Management has determined that, due to an unforeseen change in the specifications of the battery, resulting from a change in supplier, the assets that the advance payments referred to were no longer needed in the Group’s development of prototypes. As the Group does not expect to be able to reclaim the payments made under the contract with the supplier of the tools, the advance payments’ fair value (determined as the market value of reclaimable payments at level 1 of the fair value hierarchy) and recoverable amount are EUR 0. It cannot be ruled out that the supplier of the tool will still assert additional claims from this, but Sono Group considers a successful claim unlikely.</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Right-of-use assets</w:t>
      </w:r>
    </w:p>
    <w:p>
      <w:pPr>
        <w:spacing w:after="0" w:line="220"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Sono Motors leases buildings and warehouses at its headquarters in Munich and three electrical cars including batteries. At the end of the reporting period, the remaining lease terms for the buildings were 6 to 10 years and for the cars 2 to 3 years.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presents details on the lease agreements of Sono Motors: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Cars</w:t>
            </w: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39"/>
        </w:trPr>
        <w:tc>
          <w:tcPr>
            <w:tcW w:w="390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39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Right-of-use assets on January 1, 2021</w:t>
            </w:r>
          </w:p>
        </w:tc>
        <w:tc>
          <w:tcPr>
            <w:tcW w:w="30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1,906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1,937</w:t>
            </w:r>
          </w:p>
        </w:tc>
      </w:tr>
      <w:tr>
        <w:trPr>
          <w:trHeight w:val="21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right-of-use assets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1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06"/>
        </w:trPr>
        <w:tc>
          <w:tcPr>
            <w:tcW w:w="39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Right-of-use assets on December 31, 2021</w:t>
            </w:r>
          </w:p>
        </w:tc>
        <w:tc>
          <w:tcPr>
            <w:tcW w:w="3080" w:type="dxa"/>
            <w:vAlign w:val="bottom"/>
          </w:tcPr>
          <w:p>
            <w:pPr>
              <w:spacing w:after="0"/>
              <w:rPr>
                <w:sz w:val="17"/>
                <w:szCs w:val="17"/>
                <w:color w:val="auto"/>
              </w:rPr>
            </w:pPr>
          </w:p>
        </w:tc>
        <w:tc>
          <w:tcPr>
            <w:tcW w:w="8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2,997</w:t>
            </w:r>
          </w:p>
        </w:tc>
        <w:tc>
          <w:tcPr>
            <w:tcW w:w="220" w:type="dxa"/>
            <w:vAlign w:val="bottom"/>
          </w:tcPr>
          <w:p>
            <w:pPr>
              <w:spacing w:after="0"/>
              <w:rPr>
                <w:sz w:val="17"/>
                <w:szCs w:val="17"/>
                <w:color w:val="auto"/>
              </w:rPr>
            </w:pPr>
          </w:p>
        </w:tc>
        <w:tc>
          <w:tcPr>
            <w:tcW w:w="8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7"/>
                <w:szCs w:val="17"/>
                <w:color w:val="auto"/>
              </w:rPr>
            </w:pPr>
          </w:p>
        </w:tc>
        <w:tc>
          <w:tcPr>
            <w:tcW w:w="8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3,018</w:t>
            </w:r>
          </w:p>
        </w:tc>
      </w:tr>
      <w:tr>
        <w:trPr>
          <w:trHeight w:val="21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30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30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843"/>
        </w:trPr>
        <w:tc>
          <w:tcPr>
            <w:tcW w:w="3900" w:type="dxa"/>
            <w:vAlign w:val="bottom"/>
          </w:tcPr>
          <w:p>
            <w:pPr>
              <w:spacing w:after="0"/>
              <w:rPr>
                <w:sz w:val="24"/>
                <w:szCs w:val="24"/>
                <w:color w:val="auto"/>
              </w:rPr>
            </w:pPr>
          </w:p>
        </w:tc>
        <w:tc>
          <w:tcPr>
            <w:tcW w:w="41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F-42</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36"/>
        </w:trPr>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6"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39"/>
        </w:trPr>
        <w:tc>
          <w:tcPr>
            <w:tcW w:w="69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6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Right-of-use assets on January 1, 2020</w:t>
            </w:r>
          </w:p>
        </w:tc>
        <w:tc>
          <w:tcPr>
            <w:tcW w:w="82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2,211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2,235</w:t>
            </w:r>
          </w:p>
        </w:tc>
      </w:tr>
      <w:tr>
        <w:trPr>
          <w:trHeight w:val="21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right-of-use assets</w:t>
            </w:r>
          </w:p>
        </w:tc>
        <w:tc>
          <w:tcPr>
            <w:tcW w:w="2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6"/>
        </w:trPr>
        <w:tc>
          <w:tcPr>
            <w:tcW w:w="69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Right-of-use assets on December 31, 2020</w:t>
            </w:r>
          </w:p>
        </w:tc>
        <w:tc>
          <w:tcPr>
            <w:tcW w:w="8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1,906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1,937</w:t>
            </w:r>
          </w:p>
        </w:tc>
      </w:tr>
      <w:tr>
        <w:trPr>
          <w:trHeight w:val="21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2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365"/>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39"/>
        </w:trPr>
        <w:tc>
          <w:tcPr>
            <w:tcW w:w="6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r>
      <w:tr>
        <w:trPr>
          <w:trHeight w:val="206"/>
        </w:trPr>
        <w:tc>
          <w:tcPr>
            <w:tcW w:w="6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Right-of-use assets on January 1, 2019</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right-of-use assets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1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6"/>
        </w:trPr>
        <w:tc>
          <w:tcPr>
            <w:tcW w:w="69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Right-of-use assets on December 31, 2019</w:t>
            </w:r>
          </w:p>
        </w:tc>
        <w:tc>
          <w:tcPr>
            <w:tcW w:w="20" w:type="dxa"/>
            <w:vAlign w:val="bottom"/>
          </w:tcPr>
          <w:p>
            <w:pPr>
              <w:spacing w:after="0"/>
              <w:rPr>
                <w:sz w:val="17"/>
                <w:szCs w:val="17"/>
                <w:color w:val="auto"/>
              </w:rPr>
            </w:pPr>
          </w:p>
        </w:tc>
        <w:tc>
          <w:tcPr>
            <w:tcW w:w="8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2,211</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2,235</w:t>
            </w:r>
          </w:p>
        </w:tc>
      </w:tr>
      <w:tr>
        <w:trPr>
          <w:trHeight w:val="21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194"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depreciation expenses for right-of-use assets amounting to kEUR 415 (2020: kEUR 313, 2019: kEUR 163) are included in research and development (kEUR 192, (2020: kEUR 144, 2019: kEUR 61) selling and distribution costs (kEUR 45, 2020r: kEUR 77, 2019: kEUR 56) and general and administrative expenses (kEUR 178, 2020: kEUR 92, 2019: kEUR 46). Interest expenses for lease agreements are presented as part of interest and other expenses.</w:t>
      </w:r>
    </w:p>
    <w:p>
      <w:pPr>
        <w:spacing w:after="0" w:line="182" w:lineRule="exact"/>
        <w:rPr>
          <w:sz w:val="20"/>
          <w:szCs w:val="20"/>
          <w:color w:val="auto"/>
        </w:rPr>
      </w:pPr>
    </w:p>
    <w:p>
      <w:pPr>
        <w:jc w:val="both"/>
        <w:ind w:right="200" w:firstLine="318"/>
        <w:spacing w:after="0" w:line="255" w:lineRule="auto"/>
        <w:rPr>
          <w:sz w:val="20"/>
          <w:szCs w:val="20"/>
          <w:color w:val="auto"/>
        </w:rPr>
      </w:pPr>
      <w:r>
        <w:rPr>
          <w:rFonts w:ascii="Times New Roman" w:cs="Times New Roman" w:eastAsia="Times New Roman" w:hAnsi="Times New Roman"/>
          <w:sz w:val="18"/>
          <w:szCs w:val="18"/>
          <w:color w:val="auto"/>
        </w:rPr>
        <w:t>At the end of the reporting period, Sono Group has lease commitments for short-term leases of kEUR 4 (previous year: kEUR -). At the end of both the reporting period and the prior fiscal year, there were no obligations from sale and lease back transactions or leasing of low-value assets. In the reporting period, expenses relating to variable lease payments not included in the measurement of lease liabilities amounted to kEUR 16.</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presents the maturity profiles of future lease payments: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kEUR</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&gt;5 years</w:t>
            </w:r>
          </w:p>
        </w:tc>
      </w:tr>
      <w:tr>
        <w:trPr>
          <w:trHeight w:val="206"/>
        </w:trPr>
        <w:tc>
          <w:tcPr>
            <w:tcW w:w="678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Buildings</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488</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1,988</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810</w:t>
            </w:r>
          </w:p>
        </w:tc>
      </w:tr>
      <w:tr>
        <w:trPr>
          <w:trHeight w:val="212"/>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6"/>
        </w:trPr>
        <w:tc>
          <w:tcPr>
            <w:tcW w:w="69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Total December 31, 2021</w:t>
            </w: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503</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2,000</w:t>
            </w: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810</w:t>
            </w:r>
          </w:p>
        </w:tc>
      </w:tr>
      <w:tr>
        <w:trPr>
          <w:trHeight w:val="365"/>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kEUR</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&gt;5 years</w:t>
            </w:r>
          </w:p>
        </w:tc>
      </w:tr>
      <w:tr>
        <w:trPr>
          <w:trHeight w:val="206"/>
        </w:trPr>
        <w:tc>
          <w:tcPr>
            <w:tcW w:w="678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Buildings</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311</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1,302</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421</w:t>
            </w:r>
          </w:p>
        </w:tc>
      </w:tr>
      <w:tr>
        <w:trPr>
          <w:trHeight w:val="212"/>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6"/>
        </w:trPr>
        <w:tc>
          <w:tcPr>
            <w:tcW w:w="69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Total December 31, 2020</w:t>
            </w: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323</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1,326</w:t>
            </w: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421</w:t>
            </w:r>
          </w:p>
        </w:tc>
      </w:tr>
    </w:tbl>
    <w:p>
      <w:pPr>
        <w:spacing w:after="0" w:line="194" w:lineRule="exact"/>
        <w:rPr>
          <w:sz w:val="20"/>
          <w:szCs w:val="20"/>
          <w:color w:val="auto"/>
        </w:rPr>
      </w:pPr>
    </w:p>
    <w:p>
      <w:pPr>
        <w:ind w:right="200" w:firstLine="318"/>
        <w:spacing w:after="0" w:line="260" w:lineRule="auto"/>
        <w:rPr>
          <w:sz w:val="20"/>
          <w:szCs w:val="20"/>
          <w:color w:val="auto"/>
        </w:rPr>
      </w:pPr>
      <w:r>
        <w:rPr>
          <w:rFonts w:ascii="Times New Roman" w:cs="Times New Roman" w:eastAsia="Times New Roman" w:hAnsi="Times New Roman"/>
          <w:sz w:val="18"/>
          <w:szCs w:val="18"/>
          <w:color w:val="auto"/>
        </w:rPr>
        <w:t>The Group has entered several leasing agreements for buildings that offer an extension option. In all of these cases, Management has determined that the Group is reasonably certain to exercise the extension option. Therefore, the extension options were included in determining the carrying amounts of the lease liabilities and right-of-use assets for these buildings.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Sono Group does not act as a lessor or sublessor in any lease agreements.</w:t>
      </w:r>
    </w:p>
    <w:p>
      <w:pPr>
        <w:spacing w:after="0" w:line="2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Other noncurrent financial assets</w:t>
      </w:r>
    </w:p>
    <w:p>
      <w:pPr>
        <w:spacing w:after="0" w:line="220"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Other noncurrent financial assets as of December 31, 2021 (kEUR 91; previous year: kEUR 41) consist solely of security deposits. For details on expected credit losses, please refer to note 8.1.2 Credit risk.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Other current financial assets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below table displays information on financial instruments included in other current financial assets:</w:t>
      </w:r>
    </w:p>
    <w:p>
      <w:pPr>
        <w:sectPr>
          <w:pgSz w:w="11900" w:h="16838" w:orient="portrait"/>
          <w:cols w:equalWidth="0" w:num="1">
            <w:col w:w="9920"/>
          </w:cols>
          <w:pgMar w:left="980" w:top="506" w:right="999" w:bottom="1440" w:gutter="0" w:footer="0" w:header="0"/>
        </w:sectPr>
      </w:pPr>
    </w:p>
    <w:p>
      <w:pPr>
        <w:spacing w:after="0" w:line="236"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3"/>
          <w:szCs w:val="13"/>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13335</wp:posOffset>
            </wp:positionV>
            <wp:extent cx="6819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jc w:val="center"/>
        <w:ind w:left="768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6350</wp:posOffset>
            </wp:positionV>
            <wp:extent cx="6908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460" w:space="520"/>
            <w:col w:w="94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5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PayPal reserve</w:t>
            </w:r>
          </w:p>
        </w:tc>
        <w:tc>
          <w:tcPr>
            <w:tcW w:w="10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6,000</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4,655</w:t>
            </w:r>
          </w:p>
        </w:tc>
      </w:tr>
      <w:tr>
        <w:trPr>
          <w:trHeight w:val="21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crowdfunding and deposits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Debtors creditors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receivables (affiliated companies)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6"/>
        </w:trPr>
        <w:tc>
          <w:tcPr>
            <w:tcW w:w="75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6,233</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5,404</w:t>
            </w:r>
          </w:p>
        </w:tc>
      </w:tr>
    </w:tbl>
    <w:p>
      <w:pPr>
        <w:spacing w:after="0" w:line="194"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PayPal reserve in 2021 relates to the reclassification of the specific reserve imposed by PayPal due to the crowdfunding campaign from cash to other current financial assets. In February 2022, the reserve amounting to kEUR 5,900 was released and transferred to the current bank account of Sono Group. Sono Group expects a repayment of the remaining kEUR 100 within 12 months after the balance sheet date. Therefore, the PayPal reserve is classified as current.</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Other current non-financial assets</w:t>
      </w:r>
    </w:p>
    <w:p>
      <w:pPr>
        <w:spacing w:after="0" w:line="220" w:lineRule="exact"/>
        <w:rPr>
          <w:sz w:val="20"/>
          <w:szCs w:val="20"/>
          <w:color w:val="auto"/>
        </w:rPr>
      </w:pPr>
    </w:p>
    <w:p>
      <w:pPr>
        <w:jc w:val="both"/>
        <w:ind w:right="60" w:firstLine="318"/>
        <w:spacing w:after="0" w:line="260" w:lineRule="auto"/>
        <w:rPr>
          <w:sz w:val="20"/>
          <w:szCs w:val="20"/>
          <w:color w:val="auto"/>
        </w:rPr>
      </w:pPr>
      <w:r>
        <w:rPr>
          <w:rFonts w:ascii="Times New Roman" w:cs="Times New Roman" w:eastAsia="Times New Roman" w:hAnsi="Times New Roman"/>
          <w:sz w:val="18"/>
          <w:szCs w:val="18"/>
          <w:color w:val="auto"/>
        </w:rPr>
        <w:t>Other current non-financial assets as of December 31, 2021 (kEUR 3,236; previous year: kEUR 579) mainly consist of receivables for VAT and other taxes (kEUR 2,069, previous year: kEUR 257) and prepaid expenses mainly for software (kEUR 669, previous year: kEUR 256).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4"/>
        </w:trPr>
        <w:tc>
          <w:tcPr>
            <w:tcW w:w="280" w:type="dxa"/>
            <w:vAlign w:val="bottom"/>
          </w:tcPr>
          <w:p>
            <w:pPr>
              <w:spacing w:after="0"/>
              <w:rPr>
                <w:sz w:val="24"/>
                <w:szCs w:val="24"/>
                <w:color w:val="auto"/>
              </w:rPr>
            </w:pPr>
          </w:p>
        </w:tc>
        <w:tc>
          <w:tcPr>
            <w:tcW w:w="7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include the following amounts: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 31, 2020</w:t>
            </w:r>
          </w:p>
        </w:tc>
      </w:tr>
      <w:tr>
        <w:trPr>
          <w:trHeight w:val="139"/>
        </w:trPr>
        <w:tc>
          <w:tcPr>
            <w:tcW w:w="280" w:type="dxa"/>
            <w:vAlign w:val="bottom"/>
            <w:tcBorders>
              <w:bottom w:val="single" w:sz="8" w:color="CCEEFF"/>
            </w:tcBorders>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5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4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2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r>
      <w:tr>
        <w:trPr>
          <w:trHeight w:val="206"/>
        </w:trPr>
        <w:tc>
          <w:tcPr>
            <w:tcW w:w="75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Bank balances</w:t>
            </w:r>
          </w:p>
        </w:tc>
        <w:tc>
          <w:tcPr>
            <w:tcW w:w="10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132,947</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43,266</w:t>
            </w:r>
          </w:p>
        </w:tc>
        <w:tc>
          <w:tcPr>
            <w:tcW w:w="20" w:type="dxa"/>
            <w:vAlign w:val="bottom"/>
          </w:tcPr>
          <w:p>
            <w:pPr>
              <w:spacing w:after="0"/>
              <w:rPr>
                <w:sz w:val="17"/>
                <w:szCs w:val="17"/>
                <w:color w:val="auto"/>
              </w:rPr>
            </w:pPr>
          </w:p>
        </w:tc>
      </w:tr>
      <w:tr>
        <w:trPr>
          <w:trHeight w:val="21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06"/>
        </w:trPr>
        <w:tc>
          <w:tcPr>
            <w:tcW w:w="7540" w:type="dxa"/>
            <w:vAlign w:val="bottom"/>
            <w:tcBorders>
              <w:top w:val="single" w:sz="8" w:color="CCEEFF"/>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132,939</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43,264</w:t>
            </w:r>
          </w:p>
        </w:tc>
        <w:tc>
          <w:tcPr>
            <w:tcW w:w="20" w:type="dxa"/>
            <w:vAlign w:val="bottom"/>
          </w:tcPr>
          <w:p>
            <w:pPr>
              <w:spacing w:after="0"/>
              <w:rPr>
                <w:sz w:val="17"/>
                <w:szCs w:val="17"/>
                <w:color w:val="auto"/>
              </w:rPr>
            </w:pPr>
          </w:p>
        </w:tc>
      </w:tr>
      <w:tr>
        <w:trPr>
          <w:trHeight w:val="419"/>
        </w:trPr>
        <w:tc>
          <w:tcPr>
            <w:tcW w:w="280" w:type="dxa"/>
            <w:vAlign w:val="bottom"/>
          </w:tcPr>
          <w:p>
            <w:pPr>
              <w:spacing w:after="0"/>
              <w:rPr>
                <w:sz w:val="24"/>
                <w:szCs w:val="24"/>
                <w:color w:val="auto"/>
              </w:rPr>
            </w:pPr>
          </w:p>
        </w:tc>
        <w:tc>
          <w:tcPr>
            <w:tcW w:w="7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details on expected credit losses, please refer to note 8.1.2 Credit risk.</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3" w:lineRule="exact"/>
        <w:rPr>
          <w:sz w:val="20"/>
          <w:szCs w:val="20"/>
          <w:color w:val="auto"/>
        </w:rPr>
      </w:pPr>
    </w:p>
    <w:p>
      <w:pPr>
        <w:ind w:right="140" w:firstLine="318"/>
        <w:spacing w:after="0" w:line="268" w:lineRule="auto"/>
        <w:rPr>
          <w:sz w:val="20"/>
          <w:szCs w:val="20"/>
          <w:color w:val="auto"/>
        </w:rPr>
      </w:pPr>
      <w:r>
        <w:rPr>
          <w:rFonts w:ascii="Times New Roman" w:cs="Times New Roman" w:eastAsia="Times New Roman" w:hAnsi="Times New Roman"/>
          <w:sz w:val="17"/>
          <w:szCs w:val="17"/>
          <w:color w:val="auto"/>
        </w:rPr>
        <w:t>Total equity of Sono Group comprises subscribed capital, capital reserves, other reserves and accumulated deficit. The subscribed capital amounts to kEUR 8,735 (previous year: kEUR 6,468) and represents 73,577,641 (previous year: 35,803,197) fully paid-in member shares with a par value of EUR 0.06 (ordinary shares, previous year: EUR 0.06) and EUR 1.50 (high voting shares, previous year:</w:t>
      </w:r>
    </w:p>
    <w:p>
      <w:pPr>
        <w:spacing w:after="0" w:line="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EUR 1.50). Capital reserves include any amounts paid in by the owners that exceed the member shares’ par value. Other reserves include mainly effects from equity-settled stock-option. Accumulated deficit consists of losses from prior periods.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reporting year, the following events with regard to equity took place: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first half of fiscal year 2021, an amount of 68,136 new ordinary shares have been issued to two new investors.</w:t>
      </w:r>
    </w:p>
    <w:p>
      <w:pPr>
        <w:spacing w:after="0" w:line="218"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color w:val="auto"/>
        </w:rPr>
        <w:t>At the general meeting on November 8, 2021, the shareholders of Sono Group agreed to a resolution to issue bonus shares according to which all shareholders of Sono Group received an additional amount of 0.71 ordinary shares with a par value of EUR 0.06 for each share they held at the time, regardless of their voting rights, financed by deducting the nominal amount from capital reserves (in total:</w:t>
      </w:r>
    </w:p>
    <w:p>
      <w:pPr>
        <w:spacing w:after="0" w:line="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25,468,644 ordinary shares). The stock options from the “Conversion Stock Option Program 2020” were increased in the same proportion. In line with this resolution, the issue of bonus shares was implemented immediately prior to the execution of the Underwriting Agreement related to the IPO between Sono Group and Berenberg Capital Markets LLC and Craig-Hallum Capital Group LLC as underwriters.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Moreover, the shareholders agreed to extend the authorization of Sono Motors’ Management Board to issue shares in the Company’s capital (irrespective of the class concerned) and/or to grant rights to subscribe for those shares up to the authorized share capital as included in the Company’s articles of association from time to time and to limit and/or exclude pre-emption rights in relation thereto for a period of another five years after the execution of the underwriting agreement. The authorized share capital amounts to kEUR 25,200 (320,000,000 ordinary shares with a par value of EUR 0.06 and 4,000,000 high-voting shares with a par value of EUR 1.50). The shareholders also agreed to extend the resolution for the Company to acquire fully paid-up shares (irrespective of the class concerned) and/or depository receipts for those shares for another 18 months after the execution of the underwriting agreement. The underwriting agreement was executed on November 16, 2021.</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IPO on November 17, 2021, Sono Group offered 10,000,000 ordinary shares with a par value of EUR 0.06 at a price of</w:t>
      </w:r>
    </w:p>
    <w:p>
      <w:pPr>
        <w:spacing w:after="0" w:line="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USD 15.00 each. The underwriters had an additional greenshoe option to 1,500,000 ordinary shares with a par value of EUR 0.06 at a price of USD 13.95 each. All offered shares were sold and the underwriters exercised their greenshoe option. In total, Sono Group raised kUSD 160,425 (kEUR 142,334) through the IPO, after underwriting discounts and commissions. In accordance with IAS 32, further transaction costs of the IPO were recognized directly in equity as a deduction from capital reserves. The total amount of IPO-related transactions costs deducted from capital reserves is kEUR 2,825. The recognition of transaction costs included an amount of kEUR 135 that was directly attributable to the planned IPO and therefore had been deferred in a separate line item in fiscal year 2020.</w:t>
      </w:r>
    </w:p>
    <w:p>
      <w:pPr>
        <w:spacing w:after="0" w:line="188"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Upon the IPO, the mandatory convertible notes issued in 2020 (carrying amount: kEUR 9,661) were fully converted into equity. The investors of the mandatory convertible notes received a total of 737,664 ordinary shares with a par value of EUR 0.06 per share. For further details on the mandatory convertible notes, see note 7.10.1 Financial liabilities overview.</w:t>
      </w:r>
    </w:p>
    <w:p>
      <w:pPr>
        <w:spacing w:after="0" w:line="176"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The settlement payment conditional to one of the owners of Sono N.V. was due upon completion of the IPO. The corresponding liability was debited to other reserves (please refer to note 7.10.1 Financial liabilities overview).</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Regarding changes in equity due to share-based compensation see note 9.3 Remuneration based on shares (share-based payment).</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previous year, the following events with regard to equity took place:</w:t>
      </w:r>
    </w:p>
    <w:p>
      <w:pPr>
        <w:spacing w:after="0" w:line="218" w:lineRule="exact"/>
        <w:rPr>
          <w:sz w:val="20"/>
          <w:szCs w:val="20"/>
          <w:color w:val="auto"/>
        </w:rPr>
      </w:pPr>
    </w:p>
    <w:p>
      <w:pPr>
        <w:ind w:right="180" w:firstLine="318"/>
        <w:spacing w:after="0" w:line="260" w:lineRule="auto"/>
        <w:rPr>
          <w:sz w:val="20"/>
          <w:szCs w:val="20"/>
          <w:color w:val="auto"/>
        </w:rPr>
      </w:pPr>
      <w:r>
        <w:rPr>
          <w:rFonts w:ascii="Times New Roman" w:cs="Times New Roman" w:eastAsia="Times New Roman" w:hAnsi="Times New Roman"/>
          <w:sz w:val="18"/>
          <w:szCs w:val="18"/>
          <w:color w:val="auto"/>
        </w:rPr>
        <w:t>At the general meeting on November 25, 2020, the owners agreed to a capital increase against contribution in cash in the nominal amount and part of the loan claims (settlement agreement, see note 7.10.2 Other noncurrent financial liabilities) as contribution in kind at the level of Sono N.V.</w:t>
      </w:r>
    </w:p>
    <w:p>
      <w:pPr>
        <w:spacing w:after="0" w:line="17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For the reorganization of the structure of Sono Motors and Sono N.V. we refer to note 1 General information. In the course of the reorganization, a split of the shares (30,588,000, par value ordinary shares of EUR 0.06) and a conversion of high voting shares (3,000,000, par value high voting shares of EUR 1.50) has taken place, including an increase in share capital of kEUR 1,835 and kEUR 4,500 as well as an offsetting effect in the capital reserve (kEUR -1,835 and kEUR -4,500).</w:t>
      </w:r>
    </w:p>
    <w:p>
      <w:pPr>
        <w:spacing w:after="0" w:line="182"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The capital increase resulting from the settlement agreement and the issuance of new shares (480,000 and 1,735,197 new shares, respectively) as well as the modification of the original liability amounting to kEUR 1,427 and kEUR 38,200 on December 10, 2020 (closing date of issuance of new shares) resulted in an increase in subscribed capital of kEUR 133 and a corresponding increase in capital reserves of kEUR 37,302, net of tax after deducting transaction costs of kEUR 2,192. Management of Sono N.V. has determined that transaction costs of kEUR 135, which were directly attributable to the planned IPO in 2021, were to be deferred in a separate line item and not deducted from equity at the time. The deferral was derecognized at time of the IPO in November 2021. For the settlement agreement please see note 7.10.2 Other noncurrent financial liabilities.</w:t>
      </w:r>
    </w:p>
    <w:p>
      <w:pPr>
        <w:spacing w:after="0" w:line="189" w:lineRule="exact"/>
        <w:rPr>
          <w:sz w:val="20"/>
          <w:szCs w:val="20"/>
          <w:color w:val="auto"/>
        </w:rPr>
      </w:pPr>
    </w:p>
    <w:p>
      <w:pPr>
        <w:ind w:right="80" w:firstLine="318"/>
        <w:spacing w:after="0" w:line="304" w:lineRule="auto"/>
        <w:rPr>
          <w:sz w:val="20"/>
          <w:szCs w:val="20"/>
          <w:color w:val="auto"/>
        </w:rPr>
      </w:pPr>
      <w:r>
        <w:rPr>
          <w:rFonts w:ascii="Times New Roman" w:cs="Times New Roman" w:eastAsia="Times New Roman" w:hAnsi="Times New Roman"/>
          <w:sz w:val="17"/>
          <w:szCs w:val="17"/>
          <w:color w:val="auto"/>
        </w:rPr>
        <w:t>For the increase in the other reserves (kEUR 32,160) due to the new equity-settled employee participation program (Conversion Stock Option Program or CSOP), please see note 4.11 Share-based payment and 9.3 Remuneration based on shares (share-based payment).</w:t>
      </w:r>
    </w:p>
    <w:p>
      <w:pPr>
        <w:spacing w:after="0" w:line="142"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Under Dutch law, Sono Group’s authorized shared capital is the maximum capital that can be issued without amending the articles of association. As of December 31, 2020, the authorized shared capital amounts to kEUR 25,200 representing 320,000 common shares and 4,000,000 high voting shares. The high voting shares carry the same economic rights entitlements as the common shares and only carry different voting rights.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7"/>
          <w:szCs w:val="17"/>
          <w:b w:val="1"/>
          <w:bCs w:val="1"/>
          <w:color w:val="auto"/>
        </w:rPr>
        <w:t>Advance payments received from customers</w:t>
      </w:r>
    </w:p>
    <w:p>
      <w:pPr>
        <w:sectPr>
          <w:pgSz w:w="11900" w:h="16838" w:orient="portrait"/>
          <w:cols w:equalWidth="0" w:num="1">
            <w:col w:w="9920"/>
          </w:cols>
          <w:pgMar w:left="980" w:top="506" w:right="999" w:bottom="1440" w:gutter="0" w:footer="0" w:header="0"/>
        </w:sectPr>
      </w:pPr>
    </w:p>
    <w:p>
      <w:pPr>
        <w:spacing w:after="0" w:line="227"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3"/>
          <w:szCs w:val="13"/>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13335</wp:posOffset>
            </wp:positionV>
            <wp:extent cx="8674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Dec.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13335</wp:posOffset>
            </wp:positionV>
            <wp:extent cx="8763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120" w:space="720"/>
            <w:col w:w="108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69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customers</w:t>
            </w:r>
          </w:p>
        </w:tc>
        <w:tc>
          <w:tcPr>
            <w:tcW w:w="13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44,756</w:t>
            </w:r>
          </w:p>
        </w:tc>
        <w:tc>
          <w:tcPr>
            <w:tcW w:w="2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38,972</w:t>
            </w:r>
          </w:p>
        </w:tc>
      </w:tr>
      <w:tr>
        <w:trPr>
          <w:trHeight w:val="206"/>
        </w:trPr>
        <w:tc>
          <w:tcPr>
            <w:tcW w:w="690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44,756</w:t>
            </w:r>
          </w:p>
        </w:tc>
        <w:tc>
          <w:tcPr>
            <w:tcW w:w="26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38,972</w:t>
            </w:r>
          </w:p>
        </w:tc>
      </w:tr>
    </w:tbl>
    <w:p>
      <w:pPr>
        <w:spacing w:after="0" w:line="19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Depending on the general terms and conditions, in some cases, a cancellation by the customer is possible in less than twelve months. Customers may provide their advance payments in several installments, the latest of which determines the applicable cancellation policy. As of December 31, 2021, for customers who made their latest installment on or before November 25, 2020, cancellation is possible at any time. For customers who made their latest installment later than November 25, 2020, but before November 3, 2021, cancellation is possible on July 1, 2023, or later. For customers who made their latest installment on or after November 3, 2021, cancellation is possible on January 1, 2024, or later. Deviating from these conditions, in November 2020, Sono Group approached all German-speaking customers that had made their latest installment during the crowdfunding campaign from December 1, 2019, until and including January 20, 2020, and asked them to accept a change in the terms and conditions to waive their cancellation right until December 31, 2022. In effect, those customers who accepted the change may cancel their advance payment on January 1, 2023, or later.</w:t>
      </w:r>
    </w:p>
    <w:p>
      <w:pPr>
        <w:spacing w:after="0" w:line="190" w:lineRule="exact"/>
        <w:rPr>
          <w:sz w:val="20"/>
          <w:szCs w:val="20"/>
          <w:color w:val="auto"/>
        </w:rPr>
      </w:pPr>
    </w:p>
    <w:p>
      <w:pPr>
        <w:jc w:val="both"/>
        <w:ind w:right="160" w:firstLine="318"/>
        <w:spacing w:after="0" w:line="260" w:lineRule="auto"/>
        <w:rPr>
          <w:sz w:val="20"/>
          <w:szCs w:val="20"/>
          <w:color w:val="auto"/>
        </w:rPr>
      </w:pPr>
      <w:r>
        <w:rPr>
          <w:rFonts w:ascii="Times New Roman" w:cs="Times New Roman" w:eastAsia="Times New Roman" w:hAnsi="Times New Roman"/>
          <w:sz w:val="18"/>
          <w:szCs w:val="18"/>
          <w:color w:val="auto"/>
        </w:rPr>
        <w:t>As of December 31, 2021, currently 28% are cancelable, 58% will be cancelable from January 1, 2023, 13% will be cancelable from July 1, 2023, and 1% will be cancelable from January 1, 2024. The percentages calculated are based on the nominal values of the advance payments excluding IFRS adjustments (interest effect).</w:t>
      </w:r>
    </w:p>
    <w:p>
      <w:pPr>
        <w:spacing w:after="0" w:line="176" w:lineRule="exact"/>
        <w:rPr>
          <w:sz w:val="20"/>
          <w:szCs w:val="20"/>
          <w:color w:val="auto"/>
        </w:rPr>
      </w:pPr>
    </w:p>
    <w:p>
      <w:pPr>
        <w:ind w:right="500"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2020, 11% were cancelable at the time, 1% was cancelable from January 1, 2021, 21% was cancelable from January 1, 2022, 66% was cancelable from January 1, 2023, and 1% was cancelable from July 1, 2023.</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Sono Group expects to begin recognizing revenue from the sale of the car in the second half of 2023 after expected start of production.</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the changes in the advance payments received from customers: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Repayment</w:t>
            </w: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 1, 2021</w:t>
            </w:r>
          </w:p>
        </w:tc>
        <w:tc>
          <w:tcPr>
            <w:tcW w:w="12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0" w:type="dxa"/>
            <w:vAlign w:val="bottom"/>
          </w:tcPr>
          <w:p>
            <w:pPr>
              <w:spacing w:after="0"/>
              <w:rPr>
                <w:sz w:val="1"/>
                <w:szCs w:val="1"/>
                <w:color w:val="auto"/>
              </w:rPr>
            </w:pPr>
          </w:p>
        </w:tc>
      </w:tr>
      <w:tr>
        <w:trPr>
          <w:trHeight w:val="139"/>
        </w:trPr>
        <w:tc>
          <w:tcPr>
            <w:tcW w:w="39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customers</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38,972</w:t>
            </w:r>
          </w:p>
        </w:tc>
        <w:tc>
          <w:tcPr>
            <w:tcW w:w="2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5,198</w:t>
            </w:r>
          </w:p>
        </w:tc>
        <w:tc>
          <w:tcPr>
            <w:tcW w:w="2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(912)</w:t>
            </w: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1,498</w:t>
            </w:r>
          </w:p>
        </w:tc>
        <w:tc>
          <w:tcPr>
            <w:tcW w:w="2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44,756</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38,972</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5,198</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(912)</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1,498</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44,756</w:t>
            </w:r>
          </w:p>
        </w:tc>
        <w:tc>
          <w:tcPr>
            <w:tcW w:w="0" w:type="dxa"/>
            <w:vAlign w:val="bottom"/>
          </w:tcPr>
          <w:p>
            <w:pPr>
              <w:spacing w:after="0"/>
              <w:rPr>
                <w:sz w:val="1"/>
                <w:szCs w:val="1"/>
                <w:color w:val="auto"/>
              </w:rPr>
            </w:pPr>
          </w:p>
        </w:tc>
      </w:tr>
      <w:tr>
        <w:trPr>
          <w:trHeight w:val="340"/>
        </w:trPr>
        <w:tc>
          <w:tcPr>
            <w:tcW w:w="392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Repayment</w:t>
            </w: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 1, 2020</w:t>
            </w:r>
          </w:p>
        </w:tc>
        <w:tc>
          <w:tcPr>
            <w:tcW w:w="12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0" w:type="dxa"/>
            <w:vAlign w:val="bottom"/>
          </w:tcPr>
          <w:p>
            <w:pPr>
              <w:spacing w:after="0"/>
              <w:rPr>
                <w:sz w:val="1"/>
                <w:szCs w:val="1"/>
                <w:color w:val="auto"/>
              </w:rPr>
            </w:pPr>
          </w:p>
        </w:tc>
      </w:tr>
      <w:tr>
        <w:trPr>
          <w:trHeight w:val="139"/>
        </w:trPr>
        <w:tc>
          <w:tcPr>
            <w:tcW w:w="39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customers</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11,164</w:t>
            </w:r>
          </w:p>
        </w:tc>
        <w:tc>
          <w:tcPr>
            <w:tcW w:w="2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30,565</w:t>
            </w:r>
          </w:p>
        </w:tc>
        <w:tc>
          <w:tcPr>
            <w:tcW w:w="2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(4,117)</w:t>
            </w: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1,360</w:t>
            </w:r>
          </w:p>
        </w:tc>
        <w:tc>
          <w:tcPr>
            <w:tcW w:w="2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38,972</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11,164</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30,565</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(4,117)</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1,360</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38,972</w:t>
            </w:r>
          </w:p>
        </w:tc>
        <w:tc>
          <w:tcPr>
            <w:tcW w:w="0" w:type="dxa"/>
            <w:vAlign w:val="bottom"/>
          </w:tcPr>
          <w:p>
            <w:pPr>
              <w:spacing w:after="0"/>
              <w:rPr>
                <w:sz w:val="1"/>
                <w:szCs w:val="1"/>
                <w:color w:val="auto"/>
              </w:rPr>
            </w:pPr>
          </w:p>
        </w:tc>
      </w:tr>
      <w:tr>
        <w:trPr>
          <w:trHeight w:val="843"/>
        </w:trPr>
        <w:tc>
          <w:tcPr>
            <w:tcW w:w="3920" w:type="dxa"/>
            <w:vAlign w:val="bottom"/>
          </w:tcPr>
          <w:p>
            <w:pPr>
              <w:spacing w:after="0"/>
              <w:rPr>
                <w:sz w:val="24"/>
                <w:szCs w:val="24"/>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F-46</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6" w:right="99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7.10 Financial liabilities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7.10.1  Financial liabilities overview</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shows the changes in loans and participation rights: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Loan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Mandatory</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Participation</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Nominal amounts</w:t>
            </w: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6"/>
              </w:rPr>
              <w:t>loans</w:t>
            </w:r>
          </w:p>
        </w:tc>
        <w:tc>
          <w:tcPr>
            <w:tcW w:w="9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980" w:type="dxa"/>
            <w:vAlign w:val="bottom"/>
            <w:gridSpan w:val="2"/>
            <w:vMerge w:val="continue"/>
          </w:tcPr>
          <w:p>
            <w:pPr>
              <w:spacing w:after="0"/>
              <w:rPr>
                <w:sz w:val="12"/>
                <w:szCs w:val="12"/>
                <w:color w:val="auto"/>
              </w:rPr>
            </w:pPr>
          </w:p>
        </w:tc>
        <w:tc>
          <w:tcPr>
            <w:tcW w:w="8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20" w:type="dxa"/>
            <w:vAlign w:val="bottom"/>
            <w:gridSpan w:val="3"/>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2</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w:t>
            </w: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(crowd funding)</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312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Jan. 1, 2020**</w:t>
            </w: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2,590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1,967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1,383</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6,235</w:t>
            </w:r>
          </w:p>
        </w:tc>
        <w:tc>
          <w:tcPr>
            <w:tcW w:w="0" w:type="dxa"/>
            <w:vAlign w:val="bottom"/>
          </w:tcPr>
          <w:p>
            <w:pPr>
              <w:spacing w:after="0"/>
              <w:rPr>
                <w:sz w:val="1"/>
                <w:szCs w:val="1"/>
                <w:color w:val="auto"/>
              </w:rPr>
            </w:pPr>
          </w:p>
        </w:tc>
      </w:tr>
      <w:tr>
        <w:trPr>
          <w:trHeight w:val="21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0" w:type="dxa"/>
            <w:vAlign w:val="bottom"/>
          </w:tcPr>
          <w:p>
            <w:pPr>
              <w:spacing w:after="0"/>
              <w:rPr>
                <w:sz w:val="1"/>
                <w:szCs w:val="1"/>
                <w:color w:val="auto"/>
              </w:rPr>
            </w:pPr>
          </w:p>
        </w:tc>
      </w:tr>
      <w:tr>
        <w:trPr>
          <w:trHeight w:val="212"/>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Repayment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(1,219)</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2"/>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equity</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(1,648)</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gridSpan w:val="3"/>
          </w:tcPr>
          <w:p>
            <w:pPr>
              <w:spacing w:after="0" w:line="206" w:lineRule="exact"/>
              <w:rPr>
                <w:sz w:val="20"/>
                <w:szCs w:val="20"/>
                <w:color w:val="auto"/>
              </w:rPr>
            </w:pPr>
            <w:r>
              <w:rPr>
                <w:rFonts w:ascii="Times New Roman" w:cs="Times New Roman" w:eastAsia="Times New Roman" w:hAnsi="Times New Roman"/>
                <w:sz w:val="18"/>
                <w:szCs w:val="18"/>
                <w:color w:val="auto"/>
              </w:rPr>
              <w:t>Dec. 31, 2020</w:t>
            </w: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1,271</w:t>
            </w:r>
          </w:p>
        </w:tc>
        <w:tc>
          <w:tcPr>
            <w:tcW w:w="1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3,131</w:t>
            </w:r>
          </w:p>
        </w:tc>
        <w:tc>
          <w:tcPr>
            <w:tcW w:w="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6,800</w:t>
            </w:r>
          </w:p>
        </w:tc>
        <w:tc>
          <w:tcPr>
            <w:tcW w:w="1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1,383</w:t>
            </w:r>
          </w:p>
        </w:tc>
        <w:tc>
          <w:tcPr>
            <w:tcW w:w="1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12,784</w:t>
            </w:r>
          </w:p>
        </w:tc>
        <w:tc>
          <w:tcPr>
            <w:tcW w:w="0" w:type="dxa"/>
            <w:vAlign w:val="bottom"/>
          </w:tcPr>
          <w:p>
            <w:pPr>
              <w:spacing w:after="0"/>
              <w:rPr>
                <w:sz w:val="1"/>
                <w:szCs w:val="1"/>
                <w:color w:val="auto"/>
              </w:rPr>
            </w:pPr>
          </w:p>
        </w:tc>
      </w:tr>
      <w:tr>
        <w:trPr>
          <w:trHeight w:val="206"/>
        </w:trPr>
        <w:tc>
          <w:tcPr>
            <w:tcW w:w="312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Addition</w:t>
            </w: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2"/>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1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Conversion to equity</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06"/>
        </w:trPr>
        <w:tc>
          <w:tcPr>
            <w:tcW w:w="3120" w:type="dxa"/>
            <w:vAlign w:val="bottom"/>
            <w:tcBorders>
              <w:top w:val="single" w:sz="8" w:color="CCEEFF"/>
            </w:tcBorders>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Dec. 31, 2021</w:t>
            </w: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1,285</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2,500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99"/>
        </w:trPr>
        <w:tc>
          <w:tcPr>
            <w:tcW w:w="2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3"/>
        <w:spacing w:after="0"/>
        <w:tabs>
          <w:tab w:leader="none" w:pos="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transaction in 2020</w:t>
      </w:r>
    </w:p>
    <w:p>
      <w:pPr>
        <w:spacing w:after="0" w:line="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including nominal interest accrued in previous periods if applicable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Loan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Mandatory</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Participation</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amounts</w:t>
            </w: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6"/>
              </w:rPr>
              <w:t>loans</w:t>
            </w:r>
          </w:p>
        </w:tc>
        <w:tc>
          <w:tcPr>
            <w:tcW w:w="9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980" w:type="dxa"/>
            <w:vAlign w:val="bottom"/>
            <w:gridSpan w:val="2"/>
            <w:vMerge w:val="continue"/>
          </w:tcPr>
          <w:p>
            <w:pPr>
              <w:spacing w:after="0"/>
              <w:rPr>
                <w:sz w:val="12"/>
                <w:szCs w:val="12"/>
                <w:color w:val="auto"/>
              </w:rPr>
            </w:pPr>
          </w:p>
        </w:tc>
        <w:tc>
          <w:tcPr>
            <w:tcW w:w="8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20" w:type="dxa"/>
            <w:vAlign w:val="bottom"/>
            <w:gridSpan w:val="3"/>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2</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w:t>
            </w: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(crowd funding)</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312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Jan. 1, 2020</w:t>
            </w: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2,583</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 recognition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0" w:type="dxa"/>
            <w:vAlign w:val="bottom"/>
          </w:tcPr>
          <w:p>
            <w:pPr>
              <w:spacing w:after="0"/>
              <w:rPr>
                <w:sz w:val="1"/>
                <w:szCs w:val="1"/>
                <w:color w:val="auto"/>
              </w:rPr>
            </w:pPr>
          </w:p>
        </w:tc>
      </w:tr>
      <w:tr>
        <w:trPr>
          <w:trHeight w:val="212"/>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measurement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(1,219)</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2"/>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equity</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(1,648)</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gridSpan w:val="3"/>
          </w:tcPr>
          <w:p>
            <w:pPr>
              <w:spacing w:after="0" w:line="206" w:lineRule="exact"/>
              <w:rPr>
                <w:sz w:val="20"/>
                <w:szCs w:val="20"/>
                <w:color w:val="auto"/>
              </w:rPr>
            </w:pPr>
            <w:r>
              <w:rPr>
                <w:rFonts w:ascii="Times New Roman" w:cs="Times New Roman" w:eastAsia="Times New Roman" w:hAnsi="Times New Roman"/>
                <w:sz w:val="18"/>
                <w:szCs w:val="18"/>
                <w:color w:val="auto"/>
              </w:rPr>
              <w:t>Dec. 31, 2020</w:t>
            </w: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1,271</w:t>
            </w:r>
          </w:p>
        </w:tc>
        <w:tc>
          <w:tcPr>
            <w:tcW w:w="1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3,062</w:t>
            </w:r>
          </w:p>
        </w:tc>
        <w:tc>
          <w:tcPr>
            <w:tcW w:w="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6,859</w:t>
            </w:r>
          </w:p>
        </w:tc>
        <w:tc>
          <w:tcPr>
            <w:tcW w:w="1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1,374</w:t>
            </w:r>
          </w:p>
        </w:tc>
        <w:tc>
          <w:tcPr>
            <w:tcW w:w="1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12,766</w:t>
            </w:r>
          </w:p>
        </w:tc>
        <w:tc>
          <w:tcPr>
            <w:tcW w:w="0" w:type="dxa"/>
            <w:vAlign w:val="bottom"/>
          </w:tcPr>
          <w:p>
            <w:pPr>
              <w:spacing w:after="0"/>
              <w:rPr>
                <w:sz w:val="1"/>
                <w:szCs w:val="1"/>
                <w:color w:val="auto"/>
              </w:rPr>
            </w:pPr>
          </w:p>
        </w:tc>
      </w:tr>
      <w:tr>
        <w:trPr>
          <w:trHeight w:val="206"/>
        </w:trPr>
        <w:tc>
          <w:tcPr>
            <w:tcW w:w="312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Initial recognition</w:t>
            </w: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Subsequent measurement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12"/>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1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Conversion to equity</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(9,661)</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0" w:type="dxa"/>
            <w:vAlign w:val="bottom"/>
          </w:tcPr>
          <w:p>
            <w:pPr>
              <w:spacing w:after="0"/>
              <w:rPr>
                <w:sz w:val="1"/>
                <w:szCs w:val="1"/>
                <w:color w:val="auto"/>
              </w:rPr>
            </w:pPr>
          </w:p>
        </w:tc>
      </w:tr>
      <w:tr>
        <w:trPr>
          <w:trHeight w:val="206"/>
        </w:trPr>
        <w:tc>
          <w:tcPr>
            <w:tcW w:w="3120" w:type="dxa"/>
            <w:vAlign w:val="bottom"/>
            <w:tcBorders>
              <w:top w:val="single" w:sz="8" w:color="CCEEFF"/>
            </w:tcBorders>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Dec. 31, 2021</w:t>
            </w: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1,285</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2,465</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99"/>
        </w:trPr>
        <w:tc>
          <w:tcPr>
            <w:tcW w:w="2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20" w:hanging="313"/>
        <w:spacing w:after="0"/>
        <w:tabs>
          <w:tab w:leader="none" w:pos="320" w:val="left"/>
        </w:tabs>
        <w:numPr>
          <w:ilvl w:val="0"/>
          <w:numId w:val="1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Shareholder transaction in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1</w:t>
      </w:r>
    </w:p>
    <w:p>
      <w:pPr>
        <w:spacing w:after="0" w:line="220"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8"/>
          <w:szCs w:val="18"/>
          <w:color w:val="auto"/>
        </w:rPr>
        <w:t>Loan 1 consists of nine individual loans with an aggregate nominal value of kEUR 1,225, and interest rate of 4% p.a. and a maturity in December 2023. For six of these loans, Sono Group agreed with the lender to accrue interest until the end of the term of the liability without compounding instead of paying out interest each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2</w:t>
      </w:r>
    </w:p>
    <w:p>
      <w:pPr>
        <w:spacing w:after="0" w:line="220" w:lineRule="exact"/>
        <w:rPr>
          <w:sz w:val="20"/>
          <w:szCs w:val="20"/>
          <w:color w:val="auto"/>
        </w:rPr>
      </w:pPr>
    </w:p>
    <w:p>
      <w:pPr>
        <w:jc w:val="both"/>
        <w:ind w:right="40" w:firstLine="318"/>
        <w:spacing w:after="0" w:line="260" w:lineRule="auto"/>
        <w:rPr>
          <w:sz w:val="20"/>
          <w:szCs w:val="20"/>
          <w:color w:val="auto"/>
        </w:rPr>
      </w:pPr>
      <w:r>
        <w:rPr>
          <w:rFonts w:ascii="Times New Roman" w:cs="Times New Roman" w:eastAsia="Times New Roman" w:hAnsi="Times New Roman"/>
          <w:sz w:val="18"/>
          <w:szCs w:val="18"/>
          <w:color w:val="auto"/>
        </w:rPr>
        <w:t>Loan 2 included two loans with a nominal value of kEUR 185 and kEUR 100, respectively, and an annual interest rate of 4% p.a. each. These loans were repayable including interest at maturity in December 2020. The loan with the nominal amount of kEUR 185 had not been repaid as of December 31, 2020, but was paid back on January 5, 2021.</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3 (including settlement agreement)</w:t>
      </w:r>
    </w:p>
    <w:p>
      <w:pPr>
        <w:spacing w:after="0" w:line="22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Loan 3 included a loan with a contractual two-year term with an interest rate of 12% p.a. and a total nominal value of kEUR 2,500. Following a settlement agreement in November 2020, part of the loan was paid back to the capital providers, while the remaining amount was converted into ordinary shares of Sono N.V. for an additional cash payment of kEUR 29. In addition, Sono N.V. agreed to pay one of the capital providers a total amount of kEUR 250 in five equal monthly installments starting in December 2020 and one lump sum payment of kEUR 250 after a successful IPO of Sono N.V. This modification of the original liability resulted in derecognition of the unpaid liability and a recognition of a new liability for the five installments. The effect of the modification was recorded in equity as it resulted from the relationship with a shareholder. The total amount recognized in equity due to the settlement agreement was kEUR 1,427. The IPO in November 2021 triggered the second settlement payment. As of the reporting date, the payment has not been made. The outstanding amount (kEUR 250) is presented in trade and other payables as the outstanding amount for the first payment (kEUR 200) in the previous year (see note 7.11 Trade and other payables).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loans (crowdfunding)</w:t>
      </w:r>
    </w:p>
    <w:p>
      <w:pPr>
        <w:spacing w:after="0" w:line="220"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crowdfunding loans consisted of several crowdfunding loans with interest rates of 6% p.a. and different terms, varying between less than one year and up to 4 years. The issuing period ended in December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convertible notes</w:t>
      </w:r>
    </w:p>
    <w:p>
      <w:pPr>
        <w:spacing w:after="0" w:line="22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In December 2020, Sono Group issued mandatory convertible notes with a nominal value of kEUR 6,800. According to the contract, conversion was mandatory upon the occurrence of certain events, including, an IPO of Sono Group. Upon the successful IPO in November 2021, these notes (carrying amount: kEUR 9,661) were fully converted into equity (for details on the IPO, please refer to note 1 General information and note 7.8 Equity). The investors of the mandatory convertible notes received a total of 737,664 ordinary shares with a par value of EUR 0.06 per share. The par value of the shares (kEUR 44) was recognized in subscribed capital, while the remainder (kEUR 9,617) was recognized in capital reserves. Accordingly, the financial liability relating to the notes was derecognized.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rights</w:t>
      </w:r>
    </w:p>
    <w:p>
      <w:pPr>
        <w:spacing w:after="0" w:line="220"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8"/>
          <w:szCs w:val="18"/>
          <w:color w:val="auto"/>
        </w:rPr>
        <w:t>Between October 2018 and November 2019, Sono Motors issued participation rights with a total face value of kEUR 1,383 that bore a fixed interest rate of 3.5% p.a., plus a one-time bonus payment at maturity of 0.52% p.a. of the face value for each 1,000 cars reserved by potential customers between October 18, 2018 and December 31, 2019. More than 2,000 reservations were made during that period; as of December 31, 2020, the carrying amount of the liability includes the one-time bonus payment. The participation rights including the bonus payment were repaid in full in the reporting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7.10.2  Other noncurrent financial liabilities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details on items included in other noncurrent financial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 31, 2020</w:t>
            </w:r>
          </w:p>
        </w:tc>
      </w:tr>
      <w:tr>
        <w:trPr>
          <w:trHeight w:val="139"/>
        </w:trPr>
        <w:tc>
          <w:tcPr>
            <w:tcW w:w="704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70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Loans and participation rights</w:t>
            </w:r>
          </w:p>
        </w:tc>
        <w:tc>
          <w:tcPr>
            <w:tcW w:w="13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3,718</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3,665</w:t>
            </w:r>
          </w:p>
        </w:tc>
      </w:tr>
      <w:tr>
        <w:trPr>
          <w:trHeight w:val="212"/>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06"/>
        </w:trPr>
        <w:tc>
          <w:tcPr>
            <w:tcW w:w="704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6,353</w:t>
            </w:r>
          </w:p>
        </w:tc>
        <w:tc>
          <w:tcPr>
            <w:tcW w:w="28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5,335</w:t>
            </w:r>
          </w:p>
        </w:tc>
      </w:tr>
    </w:tbl>
    <w:p>
      <w:pPr>
        <w:spacing w:after="0" w:line="194"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For further details regarding the conditions of the other noncurrent financial liabilities, we refer to note 7.10.1 Financial liabilities overview.</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7.10.3  Current financial liabilities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below table displays details on items included in current financial liabilities:</w:t>
      </w:r>
    </w:p>
    <w:p>
      <w:pPr>
        <w:sectPr>
          <w:pgSz w:w="11900" w:h="16838" w:orient="portrait"/>
          <w:cols w:equalWidth="0" w:num="1">
            <w:col w:w="9920"/>
          </w:cols>
          <w:pgMar w:left="980" w:top="506" w:right="999" w:bottom="1440" w:gutter="0" w:footer="0" w:header="0"/>
        </w:sectPr>
      </w:pPr>
    </w:p>
    <w:p>
      <w:pPr>
        <w:spacing w:after="0" w:line="23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3"/>
          <w:szCs w:val="13"/>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4470400</wp:posOffset>
            </wp:positionH>
            <wp:positionV relativeFrom="paragraph">
              <wp:posOffset>13335</wp:posOffset>
            </wp:positionV>
            <wp:extent cx="825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13335</wp:posOffset>
            </wp:positionV>
            <wp:extent cx="825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160" w:space="720"/>
            <w:col w:w="104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0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Current other financial liabilities</w:t>
            </w:r>
          </w:p>
        </w:tc>
        <w:tc>
          <w:tcPr>
            <w:tcW w:w="1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2"/>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12"/>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r>
      <w:tr>
        <w:trPr>
          <w:trHeight w:val="212"/>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6"/>
        </w:trPr>
        <w:tc>
          <w:tcPr>
            <w:tcW w:w="704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472</w:t>
            </w:r>
          </w:p>
        </w:tc>
        <w:tc>
          <w:tcPr>
            <w:tcW w:w="28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9,388</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details regarding the conditions of the other financial liabilities, we refer to note 7.10.1 Financial liabilities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7.11 Trade and other payables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details on items included in trade and other payables: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 31, 2020</w:t>
            </w:r>
          </w:p>
        </w:tc>
      </w:tr>
      <w:tr>
        <w:trPr>
          <w:trHeight w:val="139"/>
        </w:trPr>
        <w:tc>
          <w:tcPr>
            <w:tcW w:w="704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70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Trade payables</w:t>
            </w:r>
          </w:p>
        </w:tc>
        <w:tc>
          <w:tcPr>
            <w:tcW w:w="13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6,866</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2,642</w:t>
            </w:r>
          </w:p>
        </w:tc>
      </w:tr>
      <w:tr>
        <w:trPr>
          <w:trHeight w:val="212"/>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6"/>
        </w:trPr>
        <w:tc>
          <w:tcPr>
            <w:tcW w:w="704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7,582</w:t>
            </w:r>
          </w:p>
        </w:tc>
        <w:tc>
          <w:tcPr>
            <w:tcW w:w="28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2,874</w:t>
            </w:r>
          </w:p>
        </w:tc>
      </w:tr>
    </w:tbl>
    <w:p>
      <w:pPr>
        <w:spacing w:after="0" w:line="194"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auto"/>
        </w:rPr>
        <w:t>Trade payables refer to purchased goods, assets and services. Other payables mainly refer to outstanding short-term employee benefits (kEUR 383) and second payment resulting from a settlement agreement (kEUR 250). In the previous year, other payables mainly related to the first payment resulting from the settlement agreement (kEUR 200). Please refer to note 7.10.2 Other noncurrent financial liabilities and note 7.8 Equity,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7.12 Current other liabilities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details on items included in other current liabilities:</w:t>
      </w:r>
    </w:p>
    <w:p>
      <w:pPr>
        <w:sectPr>
          <w:pgSz w:w="11900" w:h="16838" w:orient="portrait"/>
          <w:cols w:equalWidth="0" w:num="1">
            <w:col w:w="9920"/>
          </w:cols>
          <w:pgMar w:left="980" w:top="506" w:right="999" w:bottom="1440" w:gutter="0" w:footer="0" w:header="0"/>
          <w:type w:val="continuous"/>
        </w:sectPr>
      </w:pPr>
    </w:p>
    <w:p>
      <w:pPr>
        <w:spacing w:after="0" w:line="225"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3"/>
          <w:szCs w:val="13"/>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4470400</wp:posOffset>
            </wp:positionH>
            <wp:positionV relativeFrom="paragraph">
              <wp:posOffset>13335</wp:posOffset>
            </wp:positionV>
            <wp:extent cx="8255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6350</wp:posOffset>
            </wp:positionV>
            <wp:extent cx="8255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140" w:space="720"/>
            <w:col w:w="106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0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Accruals and deferrals</w:t>
            </w:r>
          </w:p>
        </w:tc>
        <w:tc>
          <w:tcPr>
            <w:tcW w:w="13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2,011</w:t>
            </w: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1,463</w:t>
            </w:r>
          </w:p>
        </w:tc>
      </w:tr>
      <w:tr>
        <w:trPr>
          <w:trHeight w:val="21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Employee tax liabilities (wage and church tax)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liabilities (VAT taxes and interest)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6"/>
        </w:trPr>
        <w:tc>
          <w:tcPr>
            <w:tcW w:w="704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2,492</w:t>
            </w:r>
          </w:p>
        </w:tc>
        <w:tc>
          <w:tcPr>
            <w:tcW w:w="28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1,689</w:t>
            </w:r>
          </w:p>
        </w:tc>
      </w:tr>
    </w:tbl>
    <w:p>
      <w:pPr>
        <w:spacing w:after="0" w:line="194"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Accruals and deferrals as of December 31, 2021 contain mainly accrued vacation payments to employees (kEUR 857), accrued expenses for pending invoices (kEUR 751) and accruals of kEUR 144 (previous year: kEUR 65) for statutory levies.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7.13 Provisions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information on the movements and carrying amounts of provisions over the course of the reporting period.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Usage</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Reversals</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 1, 2021</w:t>
            </w: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0" w:type="dxa"/>
            <w:vAlign w:val="bottom"/>
          </w:tcPr>
          <w:p>
            <w:pPr>
              <w:spacing w:after="0"/>
              <w:rPr>
                <w:sz w:val="1"/>
                <w:szCs w:val="1"/>
                <w:color w:val="auto"/>
              </w:rPr>
            </w:pPr>
          </w:p>
        </w:tc>
      </w:tr>
      <w:tr>
        <w:trPr>
          <w:trHeight w:val="139"/>
        </w:trPr>
        <w:tc>
          <w:tcPr>
            <w:tcW w:w="47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24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Other provisions</w:t>
            </w: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ind w:left="6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7"/>
                <w:szCs w:val="17"/>
                <w:color w:val="auto"/>
              </w:rPr>
            </w:pPr>
          </w:p>
        </w:tc>
        <w:tc>
          <w:tcPr>
            <w:tcW w:w="880" w:type="dxa"/>
            <w:vAlign w:val="bottom"/>
            <w:tcBorders>
              <w:top w:val="single" w:sz="8" w:color="auto"/>
              <w:bottom w:val="single" w:sz="8" w:color="auto"/>
            </w:tcBorders>
          </w:tcPr>
          <w:p>
            <w:pPr>
              <w:ind w:left="6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2,202</w:t>
            </w:r>
          </w:p>
        </w:tc>
        <w:tc>
          <w:tcPr>
            <w:tcW w:w="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843"/>
        </w:trPr>
        <w:tc>
          <w:tcPr>
            <w:tcW w:w="476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F-49</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4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6" w:right="999" w:bottom="1440" w:gutter="0" w:footer="0" w:header="0"/>
          <w:type w:val="continuous"/>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Usage</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Reversals</w:t>
            </w: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 1, 2020</w:t>
            </w: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 31, 2020</w:t>
            </w:r>
          </w:p>
        </w:tc>
        <w:tc>
          <w:tcPr>
            <w:tcW w:w="0" w:type="dxa"/>
            <w:vAlign w:val="bottom"/>
          </w:tcPr>
          <w:p>
            <w:pPr>
              <w:spacing w:after="0"/>
              <w:rPr>
                <w:sz w:val="1"/>
                <w:szCs w:val="1"/>
                <w:color w:val="auto"/>
              </w:rPr>
            </w:pPr>
          </w:p>
        </w:tc>
      </w:tr>
      <w:tr>
        <w:trPr>
          <w:trHeight w:val="139"/>
        </w:trPr>
        <w:tc>
          <w:tcPr>
            <w:tcW w:w="47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KEUR</w:t>
            </w:r>
          </w:p>
        </w:tc>
        <w:tc>
          <w:tcPr>
            <w:tcW w:w="1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26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Other provisions</w:t>
            </w: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ind w:left="6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(584)</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636</w:t>
            </w:r>
          </w:p>
        </w:tc>
        <w:tc>
          <w:tcPr>
            <w:tcW w:w="1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(630)</w:t>
            </w:r>
          </w:p>
        </w:tc>
        <w:tc>
          <w:tcPr>
            <w:tcW w:w="180" w:type="dxa"/>
            <w:vAlign w:val="bottom"/>
          </w:tcPr>
          <w:p>
            <w:pPr>
              <w:spacing w:after="0"/>
              <w:rPr>
                <w:sz w:val="17"/>
                <w:szCs w:val="17"/>
                <w:color w:val="auto"/>
              </w:rPr>
            </w:pPr>
          </w:p>
        </w:tc>
        <w:tc>
          <w:tcPr>
            <w:tcW w:w="880" w:type="dxa"/>
            <w:vAlign w:val="bottom"/>
            <w:tcBorders>
              <w:top w:val="single" w:sz="8" w:color="auto"/>
              <w:bottom w:val="single" w:sz="8" w:color="auto"/>
            </w:tcBorders>
          </w:tcPr>
          <w:p>
            <w:pPr>
              <w:ind w:left="6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Provisions for financial statements include audit fees and advisory services for the preparation of financial statements in accordance with Form 20-F.</w:t>
      </w:r>
    </w:p>
    <w:p>
      <w:pPr>
        <w:spacing w:after="0" w:line="164"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In the reporting period, Sono Group cancelled a supplier contract related to the delivery of assets intended for the tooling of batteries, for which advance payments had been recognized in 2020. It cannot be ruled out that the supplier of the tool will still assert additional claims from this, but Sono Group considers a successful claim unlikely. For further details, please refer to note 7.2 Property, plant and equipment.</w:t>
      </w:r>
    </w:p>
    <w:p>
      <w:pPr>
        <w:spacing w:after="0" w:line="180" w:lineRule="exact"/>
        <w:rPr>
          <w:sz w:val="20"/>
          <w:szCs w:val="20"/>
          <w:color w:val="auto"/>
        </w:rPr>
      </w:pPr>
    </w:p>
    <w:p>
      <w:pPr>
        <w:ind w:right="5420" w:firstLine="7"/>
        <w:spacing w:after="0" w:line="492" w:lineRule="auto"/>
        <w:tabs>
          <w:tab w:leader="none" w:pos="191"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financial instruments and risk management 8.1 Type and management of financial risks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8.1.1 General information</w:t>
      </w:r>
    </w:p>
    <w:p>
      <w:pPr>
        <w:spacing w:after="0" w:line="220" w:lineRule="exact"/>
        <w:rPr>
          <w:sz w:val="20"/>
          <w:szCs w:val="20"/>
          <w:color w:val="auto"/>
        </w:rPr>
      </w:pPr>
    </w:p>
    <w:p>
      <w:pPr>
        <w:ind w:right="200" w:firstLine="318"/>
        <w:spacing w:after="0" w:line="260" w:lineRule="auto"/>
        <w:rPr>
          <w:sz w:val="20"/>
          <w:szCs w:val="20"/>
          <w:color w:val="auto"/>
        </w:rPr>
      </w:pPr>
      <w:r>
        <w:rPr>
          <w:rFonts w:ascii="Times New Roman" w:cs="Times New Roman" w:eastAsia="Times New Roman" w:hAnsi="Times New Roman"/>
          <w:sz w:val="18"/>
          <w:szCs w:val="18"/>
          <w:color w:val="auto"/>
        </w:rPr>
        <w:t>Sono Group is exposed to certain financial risks with respect to its financial assets and liabilities and the transactions associated with its business model. These risks generally relate to credit risks, liquidity risks and market risks (especially interest rate risk and foreign exchange rate risk).</w:t>
      </w:r>
    </w:p>
    <w:p>
      <w:pPr>
        <w:spacing w:after="0" w:line="176"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aim of risk management is to limit the potential negative impact on expected cash flows and take advantage of any opportunities that arise.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8.1.2 Credit risk</w:t>
      </w:r>
    </w:p>
    <w:p>
      <w:pPr>
        <w:spacing w:after="0" w:line="220"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Credit risk is managed by Sono Group’s finance department. Credit risk arises from cash and cash equivalents and other financial assets. To limit credit risk, cash deposits and investments are placed only with reputable financial institutions, based on a qualitative assessment by Sono Group’s finance department under consideration of the creditworthiness of the financial institutions. Consequently, the risk of default is considered to be low.</w:t>
      </w:r>
    </w:p>
    <w:p>
      <w:pPr>
        <w:spacing w:after="0" w:line="182" w:lineRule="exact"/>
        <w:rPr>
          <w:sz w:val="20"/>
          <w:szCs w:val="20"/>
          <w:color w:val="auto"/>
        </w:rPr>
      </w:pPr>
    </w:p>
    <w:p>
      <w:pPr>
        <w:jc w:val="both"/>
        <w:ind w:right="240" w:firstLine="318"/>
        <w:spacing w:after="0" w:line="260" w:lineRule="auto"/>
        <w:rPr>
          <w:sz w:val="20"/>
          <w:szCs w:val="20"/>
          <w:color w:val="auto"/>
        </w:rPr>
      </w:pPr>
      <w:r>
        <w:rPr>
          <w:rFonts w:ascii="Times New Roman" w:cs="Times New Roman" w:eastAsia="Times New Roman" w:hAnsi="Times New Roman"/>
          <w:sz w:val="18"/>
          <w:szCs w:val="18"/>
          <w:color w:val="auto"/>
        </w:rPr>
        <w:t>For the reporting year and the previous year, there were no significant increases in credit risks for financial assets (no transfer from Stage 1 to Stage 2). Therefore, the loss allowance for all financial assets is measured at an amount equal to 12-month ECL (Stage 1). 12-month ECL is determined using external credit ratings as well as external recovery rates.</w:t>
      </w:r>
    </w:p>
    <w:p>
      <w:pPr>
        <w:spacing w:after="0" w:line="17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opening and ending balance for loss allowances for other current and noncurrent financial assets as well as cash and cash equivalents as of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39"/>
        </w:trPr>
        <w:tc>
          <w:tcPr>
            <w:tcW w:w="868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5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 w:type="dxa"/>
            <w:vAlign w:val="bottom"/>
          </w:tcPr>
          <w:p>
            <w:pPr>
              <w:spacing w:after="0"/>
              <w:rPr>
                <w:sz w:val="12"/>
                <w:szCs w:val="12"/>
                <w:color w:val="auto"/>
              </w:rPr>
            </w:pPr>
          </w:p>
        </w:tc>
      </w:tr>
      <w:tr>
        <w:trPr>
          <w:trHeight w:val="206"/>
        </w:trPr>
        <w:tc>
          <w:tcPr>
            <w:tcW w:w="8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Opening loss allowance as at January 1, 2020</w:t>
            </w:r>
          </w:p>
        </w:tc>
        <w:tc>
          <w:tcPr>
            <w:tcW w:w="12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recognized in profit or loss during the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6"/>
        </w:trPr>
        <w:tc>
          <w:tcPr>
            <w:tcW w:w="868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Closing loss allowance as at December 31, 2020</w:t>
            </w:r>
          </w:p>
        </w:tc>
        <w:tc>
          <w:tcPr>
            <w:tcW w:w="12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r>
      <w:tr>
        <w:trPr>
          <w:trHeight w:val="206"/>
        </w:trPr>
        <w:tc>
          <w:tcPr>
            <w:tcW w:w="8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Opening loss allowance as at January 1, 2021</w:t>
            </w:r>
          </w:p>
        </w:tc>
        <w:tc>
          <w:tcPr>
            <w:tcW w:w="12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r>
      <w:tr>
        <w:trPr>
          <w:trHeight w:val="21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recognized in profit or loss during the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06"/>
        </w:trPr>
        <w:tc>
          <w:tcPr>
            <w:tcW w:w="86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Closing loss allowance as at December 31, 2021</w:t>
            </w:r>
          </w:p>
        </w:tc>
        <w:tc>
          <w:tcPr>
            <w:tcW w:w="12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main driver of the increase in the loss allowance was the increase in exposure to credit risk for bank balances.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20" w:firstLine="318"/>
        <w:spacing w:after="0" w:line="274" w:lineRule="auto"/>
        <w:rPr>
          <w:sz w:val="20"/>
          <w:szCs w:val="20"/>
          <w:color w:val="auto"/>
        </w:rPr>
      </w:pPr>
      <w:r>
        <w:rPr>
          <w:rFonts w:ascii="Times New Roman" w:cs="Times New Roman" w:eastAsia="Times New Roman" w:hAnsi="Times New Roman"/>
          <w:sz w:val="18"/>
          <w:szCs w:val="18"/>
          <w:color w:val="auto"/>
        </w:rPr>
        <w:t>The table below displays the gross carrying amount of other current and noncurrent financial assets as well as cash and cash equivalents by credit risk rating grades.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Credit risk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0" w:type="dxa"/>
            <w:vAlign w:val="bottom"/>
          </w:tcPr>
          <w:p>
            <w:pPr>
              <w:spacing w:after="0"/>
              <w:rPr>
                <w:sz w:val="1"/>
                <w:szCs w:val="1"/>
                <w:color w:val="auto"/>
              </w:rPr>
            </w:pPr>
          </w:p>
        </w:tc>
      </w:tr>
      <w:tr>
        <w:trPr>
          <w:trHeight w:val="146"/>
        </w:trPr>
        <w:tc>
          <w:tcPr>
            <w:tcW w:w="66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rating grade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(12m ECL)</w:t>
            </w:r>
          </w:p>
        </w:tc>
        <w:tc>
          <w:tcPr>
            <w:tcW w:w="0" w:type="dxa"/>
            <w:vAlign w:val="bottom"/>
          </w:tcPr>
          <w:p>
            <w:pPr>
              <w:spacing w:after="0"/>
              <w:rPr>
                <w:sz w:val="1"/>
                <w:szCs w:val="1"/>
                <w:color w:val="auto"/>
              </w:rPr>
            </w:pPr>
          </w:p>
        </w:tc>
      </w:tr>
      <w:tr>
        <w:trPr>
          <w:trHeight w:val="152"/>
        </w:trPr>
        <w:tc>
          <w:tcPr>
            <w:tcW w:w="6620" w:type="dxa"/>
            <w:vAlign w:val="bottom"/>
            <w:tcBorders>
              <w:bottom w:val="single" w:sz="8" w:color="CCEEFF"/>
            </w:tcBorders>
          </w:tcPr>
          <w:p>
            <w:pPr>
              <w:spacing w:after="0"/>
              <w:rPr>
                <w:sz w:val="13"/>
                <w:szCs w:val="13"/>
                <w:color w:val="auto"/>
              </w:rPr>
            </w:pPr>
          </w:p>
        </w:tc>
        <w:tc>
          <w:tcPr>
            <w:tcW w:w="1500" w:type="dxa"/>
            <w:vAlign w:val="bottom"/>
            <w:tcBorders>
              <w:top w:val="single" w:sz="8" w:color="auto"/>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66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December 31, 2020</w:t>
            </w:r>
          </w:p>
        </w:tc>
        <w:tc>
          <w:tcPr>
            <w:tcW w:w="1760" w:type="dxa"/>
            <w:vAlign w:val="bottom"/>
            <w:gridSpan w:val="2"/>
            <w:shd w:val="clear" w:color="auto" w:fill="CCEEFF"/>
          </w:tcPr>
          <w:p>
            <w:pPr>
              <w:ind w:left="600"/>
              <w:spacing w:after="0" w:line="206" w:lineRule="exact"/>
              <w:rPr>
                <w:sz w:val="20"/>
                <w:szCs w:val="20"/>
                <w:color w:val="auto"/>
              </w:rPr>
            </w:pPr>
            <w:r>
              <w:rPr>
                <w:rFonts w:ascii="Times New Roman" w:cs="Times New Roman" w:eastAsia="Times New Roman" w:hAnsi="Times New Roman"/>
                <w:sz w:val="18"/>
                <w:szCs w:val="18"/>
                <w:color w:val="auto"/>
              </w:rPr>
              <w:t>Risk class 1</w:t>
            </w:r>
          </w:p>
        </w:tc>
        <w:tc>
          <w:tcPr>
            <w:tcW w:w="15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48,715</w:t>
            </w:r>
          </w:p>
        </w:tc>
        <w:tc>
          <w:tcPr>
            <w:tcW w:w="0" w:type="dxa"/>
            <w:vAlign w:val="bottom"/>
          </w:tcPr>
          <w:p>
            <w:pPr>
              <w:spacing w:after="0"/>
              <w:rPr>
                <w:sz w:val="1"/>
                <w:szCs w:val="1"/>
                <w:color w:val="auto"/>
              </w:rPr>
            </w:pPr>
          </w:p>
        </w:tc>
      </w:tr>
      <w:tr>
        <w:trPr>
          <w:trHeight w:val="23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Risk class 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139,273</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 Liquidity risk</w:t>
      </w:r>
    </w:p>
    <w:p>
      <w:pPr>
        <w:spacing w:after="0" w:line="220"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Liquidity risk is the risk that Sono Group will encounter difficulty in meeting its obligations associated with financial liabilities that are settled by delivering cash or another financial asset. Sono Group mainly relies on equity financing from shareholders and private investors and participation rights. Although the IPO proceeds have served to increase the Group’s level of liquidity in 2021, lack of additional external financial support and any reclaims of the advance payments received from customers could expose Sono Motors to a risk of going concern. The ability to obtain further financing is highly dependent on further progress in the development of Sono Motors’ core product and successful communication to potential external investors. Reclaims of the advance payments received from customers are possible because, according to the applicable terms and conditions, customers can choose between reclaiming their advance payment or purchasing the vehicle at the time Sono Motors offers a purchase contract for the vehicle. Based on the specific terms of the agreement between Sono Motors and the customer, some customers may also reclaim their advance payments earlier. For details on advance payments received, please refer to note 7.9 Advance payments received from customers.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reporting date, Management concludes that Sono Group’s liquidity risk is high. Despite the successful IPO in</w:t>
      </w:r>
    </w:p>
    <w:p>
      <w:pPr>
        <w:spacing w:after="0" w:line="2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November 2021, there are substantial uncertainties related to events or conditions regarding Sono Group’s ability to obtain future financing that cast significant doubt upon the Group’s ability to continue as a going concern (see note 4.13.1 Going concern for further details). Therefore, Sono Group’s liquidity management focuses on the availability of cash and cash equivalents for operational activities and further investments by means of timely and thorough budget planning and appropriate reactions to expected cash restrictions.</w:t>
      </w:r>
    </w:p>
    <w:p>
      <w:pPr>
        <w:spacing w:after="0" w:line="186"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Sono Group has established an appropriate approach to managing short-, medium- and long-term financing and liquidity requirements. It manages liquidity risks by holding appropriate reserves, as well as by monitoring forecasted and actual cash flows. To monitor the availability of liquidity, cash flow forecasts are developed on a regular basis. Based on these cash flow forecasts, a run rate, which displays the period Sono Motors is able to carry on its current operations without additional financing, is determined. As a safeguard for legal risks associated with liquidity issues, external legal advice has been sought in order to comply with German insolvency laws.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table below summarizes the maturity profile of Sono Group’s financial liabilities based on contractual undiscounted payments: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1 to 5 years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&gt;5 years</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6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Trade and other payables</w:t>
            </w:r>
          </w:p>
        </w:tc>
        <w:tc>
          <w:tcPr>
            <w:tcW w:w="2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7,582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7,582</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25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34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December 31, 2021</w:t>
            </w:r>
          </w:p>
        </w:tc>
        <w:tc>
          <w:tcPr>
            <w:tcW w:w="2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14,407</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8,271</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6,134</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367"/>
        </w:trPr>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1 to 5 years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&gt;5 years</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6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Trade and other payables</w:t>
            </w:r>
          </w:p>
        </w:tc>
        <w:tc>
          <w:tcPr>
            <w:tcW w:w="2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2,874</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2,874</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6"/>
        </w:trPr>
        <w:tc>
          <w:tcPr>
            <w:tcW w:w="34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December 31, 2020</w:t>
            </w:r>
          </w:p>
        </w:tc>
        <w:tc>
          <w:tcPr>
            <w:tcW w:w="2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17,596</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14,972</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5,586</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631"/>
        </w:trPr>
        <w:tc>
          <w:tcPr>
            <w:tcW w:w="3460" w:type="dxa"/>
            <w:vAlign w:val="bottom"/>
          </w:tcPr>
          <w:p>
            <w:pPr>
              <w:spacing w:after="0"/>
              <w:rPr>
                <w:sz w:val="24"/>
                <w:szCs w:val="24"/>
                <w:color w:val="auto"/>
              </w:rPr>
            </w:pPr>
          </w:p>
        </w:tc>
        <w:tc>
          <w:tcPr>
            <w:tcW w:w="360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F-51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4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6" w:right="9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8.1.4 Interest rate risk</w:t>
      </w:r>
    </w:p>
    <w:p>
      <w:pPr>
        <w:spacing w:after="0" w:line="220"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Sono Group’s exposure to the risk of changes in market interest rates relates primarily to cash and cash equivalents, as financial liabilities bear no or fixed interest rates. Due to persistently low interest rates, Sono Group is exposed to the risk of being charged negative interest rates on its bank deposits at a fixed interest rate. In the reporting period, negative interest charges amount to kEUR 156 (2020: kEUR 49; 2019: kEUR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8.1.5 Currency risk</w:t>
      </w:r>
    </w:p>
    <w:p>
      <w:pPr>
        <w:spacing w:after="0" w:line="220"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8"/>
          <w:szCs w:val="18"/>
          <w:color w:val="auto"/>
        </w:rPr>
        <w:t>Currency risk is the risk that the fair value or future cash flows of a financial instrument will fluctuate because of changes in foreign exchange rates. The Group’s exposure to currency risk relates to the amount of cash received in the IPO and trade payables in a currency other than the functional currency of the Group, although supplier contracts have short payment terms. Management manages currency risk by closely monitoring account balances in foreign currencies and exchange rates to assess the exposure to currency risk on an ongoing basis and reacting accordingly if necessary.</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the end of the reporting period, Sono Group had the following amounts of cash in foreign currencies.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w:t>
            </w:r>
          </w:p>
        </w:tc>
        <w:tc>
          <w:tcPr>
            <w:tcW w:w="26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39"/>
        </w:trPr>
        <w:tc>
          <w:tcPr>
            <w:tcW w:w="4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gridSpan w:val="2"/>
          </w:tcPr>
          <w:p>
            <w:pPr>
              <w:ind w:left="320"/>
              <w:spacing w:after="0" w:line="139" w:lineRule="exact"/>
              <w:rPr>
                <w:sz w:val="20"/>
                <w:szCs w:val="20"/>
                <w:color w:val="auto"/>
              </w:rPr>
            </w:pPr>
            <w:r>
              <w:rPr>
                <w:rFonts w:ascii="Times New Roman" w:cs="Times New Roman" w:eastAsia="Times New Roman" w:hAnsi="Times New Roman"/>
                <w:sz w:val="14"/>
                <w:szCs w:val="14"/>
                <w:b w:val="1"/>
                <w:bCs w:val="1"/>
                <w:color w:val="auto"/>
              </w:rPr>
              <w:t>k units</w:t>
            </w:r>
          </w:p>
        </w:tc>
        <w:tc>
          <w:tcPr>
            <w:tcW w:w="1060" w:type="dxa"/>
            <w:vAlign w:val="bottom"/>
            <w:tcBorders>
              <w:top w:val="single" w:sz="8" w:color="auto"/>
            </w:tcBorders>
          </w:tcPr>
          <w:p>
            <w:pPr>
              <w:jc w:val="right"/>
              <w:ind w:right="25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60" w:type="dxa"/>
            <w:vAlign w:val="bottom"/>
          </w:tcPr>
          <w:p>
            <w:pPr>
              <w:spacing w:after="0"/>
              <w:rPr>
                <w:sz w:val="12"/>
                <w:szCs w:val="12"/>
                <w:color w:val="auto"/>
              </w:rPr>
            </w:pPr>
          </w:p>
        </w:tc>
        <w:tc>
          <w:tcPr>
            <w:tcW w:w="1340" w:type="dxa"/>
            <w:vAlign w:val="bottom"/>
            <w:tcBorders>
              <w:top w:val="single" w:sz="8" w:color="auto"/>
            </w:tcBorders>
            <w:gridSpan w:val="2"/>
          </w:tcPr>
          <w:p>
            <w:pPr>
              <w:ind w:left="340"/>
              <w:spacing w:after="0" w:line="139" w:lineRule="exact"/>
              <w:rPr>
                <w:sz w:val="20"/>
                <w:szCs w:val="20"/>
                <w:color w:val="auto"/>
              </w:rPr>
            </w:pPr>
            <w:r>
              <w:rPr>
                <w:rFonts w:ascii="Times New Roman" w:cs="Times New Roman" w:eastAsia="Times New Roman" w:hAnsi="Times New Roman"/>
                <w:sz w:val="14"/>
                <w:szCs w:val="14"/>
                <w:b w:val="1"/>
                <w:bCs w:val="1"/>
                <w:color w:val="auto"/>
              </w:rPr>
              <w:t>k units</w:t>
            </w:r>
          </w:p>
        </w:tc>
        <w:tc>
          <w:tcPr>
            <w:tcW w:w="1080" w:type="dxa"/>
            <w:vAlign w:val="bottom"/>
            <w:tcBorders>
              <w:top w:val="single" w:sz="8" w:color="auto"/>
            </w:tcBorders>
          </w:tcPr>
          <w:p>
            <w:pPr>
              <w:ind w:left="36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4860" w:type="dxa"/>
            <w:vAlign w:val="bottom"/>
            <w:tcBorders>
              <w:top w:val="single" w:sz="8" w:color="CCEEFF"/>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USD</w:t>
            </w:r>
          </w:p>
        </w:tc>
        <w:tc>
          <w:tcPr>
            <w:tcW w:w="10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30,425</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26,877</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ind w:left="8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ind w:left="840"/>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06"/>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26,877</w:t>
            </w:r>
          </w:p>
        </w:tc>
        <w:tc>
          <w:tcPr>
            <w:tcW w:w="260" w:type="dxa"/>
            <w:vAlign w:val="bottom"/>
          </w:tcPr>
          <w:p>
            <w:pPr>
              <w:spacing w:after="0"/>
              <w:rPr>
                <w:sz w:val="17"/>
                <w:szCs w:val="17"/>
                <w:color w:val="auto"/>
              </w:rPr>
            </w:pPr>
          </w:p>
        </w:tc>
        <w:tc>
          <w:tcPr>
            <w:tcW w:w="1080" w:type="dxa"/>
            <w:vAlign w:val="bottom"/>
            <w:tcBorders>
              <w:bottom w:val="single" w:sz="8" w:color="auto"/>
            </w:tcBorders>
          </w:tcPr>
          <w:p>
            <w:pPr>
              <w:ind w:left="8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80" w:type="dxa"/>
            <w:vAlign w:val="bottom"/>
            <w:tcBorders>
              <w:bottom w:val="single" w:sz="8" w:color="auto"/>
            </w:tcBorders>
          </w:tcPr>
          <w:p>
            <w:pPr>
              <w:ind w:left="840"/>
              <w:spacing w:after="0" w:line="206" w:lineRule="exact"/>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the end of the reporting period, Sono Group had the following trade payables in foreign currencies.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Trade payables</w:t>
            </w:r>
          </w:p>
        </w:tc>
        <w:tc>
          <w:tcPr>
            <w:tcW w:w="26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39"/>
        </w:trPr>
        <w:tc>
          <w:tcPr>
            <w:tcW w:w="4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gridSpan w:val="2"/>
          </w:tcPr>
          <w:p>
            <w:pPr>
              <w:ind w:left="320"/>
              <w:spacing w:after="0" w:line="139" w:lineRule="exact"/>
              <w:rPr>
                <w:sz w:val="20"/>
                <w:szCs w:val="20"/>
                <w:color w:val="auto"/>
              </w:rPr>
            </w:pPr>
            <w:r>
              <w:rPr>
                <w:rFonts w:ascii="Times New Roman" w:cs="Times New Roman" w:eastAsia="Times New Roman" w:hAnsi="Times New Roman"/>
                <w:sz w:val="14"/>
                <w:szCs w:val="14"/>
                <w:b w:val="1"/>
                <w:bCs w:val="1"/>
                <w:color w:val="auto"/>
              </w:rPr>
              <w:t>k units</w:t>
            </w:r>
          </w:p>
        </w:tc>
        <w:tc>
          <w:tcPr>
            <w:tcW w:w="1060" w:type="dxa"/>
            <w:vAlign w:val="bottom"/>
            <w:tcBorders>
              <w:top w:val="single" w:sz="8" w:color="auto"/>
            </w:tcBorders>
          </w:tcPr>
          <w:p>
            <w:pPr>
              <w:jc w:val="right"/>
              <w:ind w:right="255"/>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60" w:type="dxa"/>
            <w:vAlign w:val="bottom"/>
          </w:tcPr>
          <w:p>
            <w:pPr>
              <w:spacing w:after="0"/>
              <w:rPr>
                <w:sz w:val="12"/>
                <w:szCs w:val="12"/>
                <w:color w:val="auto"/>
              </w:rPr>
            </w:pPr>
          </w:p>
        </w:tc>
        <w:tc>
          <w:tcPr>
            <w:tcW w:w="1340" w:type="dxa"/>
            <w:vAlign w:val="bottom"/>
            <w:tcBorders>
              <w:top w:val="single" w:sz="8" w:color="auto"/>
            </w:tcBorders>
            <w:gridSpan w:val="2"/>
          </w:tcPr>
          <w:p>
            <w:pPr>
              <w:ind w:left="340"/>
              <w:spacing w:after="0" w:line="139" w:lineRule="exact"/>
              <w:rPr>
                <w:sz w:val="20"/>
                <w:szCs w:val="20"/>
                <w:color w:val="auto"/>
              </w:rPr>
            </w:pPr>
            <w:r>
              <w:rPr>
                <w:rFonts w:ascii="Times New Roman" w:cs="Times New Roman" w:eastAsia="Times New Roman" w:hAnsi="Times New Roman"/>
                <w:sz w:val="14"/>
                <w:szCs w:val="14"/>
                <w:b w:val="1"/>
                <w:bCs w:val="1"/>
                <w:color w:val="auto"/>
              </w:rPr>
              <w:t>k units</w:t>
            </w:r>
          </w:p>
        </w:tc>
        <w:tc>
          <w:tcPr>
            <w:tcW w:w="1080" w:type="dxa"/>
            <w:vAlign w:val="bottom"/>
            <w:tcBorders>
              <w:top w:val="single" w:sz="8" w:color="auto"/>
            </w:tcBorders>
          </w:tcPr>
          <w:p>
            <w:pPr>
              <w:ind w:left="36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4860" w:type="dxa"/>
            <w:vAlign w:val="bottom"/>
            <w:tcBorders>
              <w:top w:val="single" w:sz="8" w:color="CCEEFF"/>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CNY</w:t>
            </w:r>
          </w:p>
        </w:tc>
        <w:tc>
          <w:tcPr>
            <w:tcW w:w="10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6,616</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916</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40"/>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8"/>
                <w:szCs w:val="18"/>
                <w:color w:val="auto"/>
              </w:rPr>
            </w:pP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GBP</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4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1,057</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ind w:left="8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ind w:left="840"/>
              <w:spacing w:after="0" w:line="206" w:lineRule="exact"/>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right="60" w:firstLine="318"/>
        <w:spacing w:after="0" w:line="274" w:lineRule="auto"/>
        <w:rPr>
          <w:sz w:val="20"/>
          <w:szCs w:val="20"/>
          <w:color w:val="auto"/>
        </w:rPr>
      </w:pPr>
      <w:r>
        <w:rPr>
          <w:rFonts w:ascii="Times New Roman" w:cs="Times New Roman" w:eastAsia="Times New Roman" w:hAnsi="Times New Roman"/>
          <w:sz w:val="18"/>
          <w:szCs w:val="18"/>
          <w:color w:val="auto"/>
        </w:rPr>
        <w:t>At the end of the reporting period and of the previous year, Sono Group had no trade and other receivables in foreign currencies. There were no hedging relationships at the end of the respective periods.</w:t>
      </w:r>
    </w:p>
    <w:p>
      <w:pPr>
        <w:spacing w:after="0" w:line="164"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Based on the respective exchange rates at the end of the reporting period, a hypothetical appreciation of the EUR compared to the foreign currencies of 10 percent would have resulted in the following effect on consolidated profit before taxes and equity.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 appreciation of 10%</w:t>
            </w:r>
          </w:p>
        </w:tc>
        <w:tc>
          <w:tcPr>
            <w:tcW w:w="2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180" w:type="dxa"/>
            <w:vAlign w:val="bottom"/>
            <w:vMerge w:val="continue"/>
          </w:tcPr>
          <w:p>
            <w:pPr>
              <w:spacing w:after="0"/>
              <w:rPr>
                <w:sz w:val="14"/>
                <w:szCs w:val="14"/>
                <w:color w:val="auto"/>
              </w:rPr>
            </w:pPr>
          </w:p>
        </w:tc>
        <w:tc>
          <w:tcPr>
            <w:tcW w:w="4520" w:type="dxa"/>
            <w:vAlign w:val="bottom"/>
            <w:gridSpan w:val="3"/>
          </w:tcPr>
          <w:p>
            <w:pPr>
              <w:jc w:val="center"/>
              <w:ind w:left="25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9"/>
        </w:trPr>
        <w:tc>
          <w:tcPr>
            <w:tcW w:w="3180" w:type="dxa"/>
            <w:vAlign w:val="bottom"/>
            <w:tcBorders>
              <w:top w:val="single" w:sz="8" w:color="auto"/>
              <w:bottom w:val="single" w:sz="8" w:color="CCEEFF"/>
            </w:tcBorders>
          </w:tcPr>
          <w:p>
            <w:pPr>
              <w:spacing w:after="0"/>
              <w:rPr>
                <w:sz w:val="12"/>
                <w:szCs w:val="12"/>
                <w:color w:val="auto"/>
              </w:rPr>
            </w:pPr>
          </w:p>
        </w:tc>
        <w:tc>
          <w:tcPr>
            <w:tcW w:w="2320" w:type="dxa"/>
            <w:vAlign w:val="bottom"/>
            <w:tcBorders>
              <w:top w:val="single" w:sz="8" w:color="auto"/>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320" w:type="dxa"/>
            <w:vAlign w:val="bottom"/>
            <w:tcBorders>
              <w:bottom w:val="single" w:sz="8" w:color="CCEEFF"/>
            </w:tcBorders>
          </w:tcPr>
          <w:p>
            <w:pPr>
              <w:spacing w:after="0"/>
              <w:rPr>
                <w:sz w:val="12"/>
                <w:szCs w:val="12"/>
                <w:color w:val="auto"/>
              </w:rPr>
            </w:pPr>
          </w:p>
        </w:tc>
        <w:tc>
          <w:tcPr>
            <w:tcW w:w="19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31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USD</w:t>
            </w:r>
          </w:p>
        </w:tc>
        <w:tc>
          <w:tcPr>
            <w:tcW w:w="2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(2,432)</w:t>
            </w: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ind w:left="16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spacing w:after="0"/>
              <w:rPr>
                <w:sz w:val="18"/>
                <w:szCs w:val="18"/>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SEK</w:t>
            </w:r>
          </w:p>
        </w:tc>
        <w:tc>
          <w:tcPr>
            <w:tcW w:w="4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GBP</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318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(2,348)</w:t>
            </w: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ind w:left="16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43"/>
        </w:trPr>
        <w:tc>
          <w:tcPr>
            <w:tcW w:w="3180" w:type="dxa"/>
            <w:vAlign w:val="bottom"/>
          </w:tcPr>
          <w:p>
            <w:pPr>
              <w:spacing w:after="0"/>
              <w:rPr>
                <w:sz w:val="24"/>
                <w:szCs w:val="24"/>
                <w:color w:val="auto"/>
              </w:rPr>
            </w:pPr>
          </w:p>
        </w:tc>
        <w:tc>
          <w:tcPr>
            <w:tcW w:w="484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F-52</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6"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Based on the respective exchange rates at the end of the reporting period, a hypothetical depreciation of the EUR compared to the foreign currencies of 10 percent would have resulted in the following effect on consolidated profit before taxes and equity.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 depreciation of 10%</w:t>
            </w:r>
          </w:p>
        </w:tc>
        <w:tc>
          <w:tcPr>
            <w:tcW w:w="2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9"/>
        </w:trPr>
        <w:tc>
          <w:tcPr>
            <w:tcW w:w="5500" w:type="dxa"/>
            <w:vAlign w:val="bottom"/>
            <w:tcBorders>
              <w:top w:val="single" w:sz="8" w:color="auto"/>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8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320" w:type="dxa"/>
            <w:vAlign w:val="bottom"/>
            <w:tcBorders>
              <w:bottom w:val="single" w:sz="8" w:color="CCEEFF"/>
            </w:tcBorders>
          </w:tcPr>
          <w:p>
            <w:pPr>
              <w:spacing w:after="0"/>
              <w:rPr>
                <w:sz w:val="12"/>
                <w:szCs w:val="12"/>
                <w:color w:val="auto"/>
              </w:rPr>
            </w:pPr>
          </w:p>
        </w:tc>
        <w:tc>
          <w:tcPr>
            <w:tcW w:w="190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0" w:type="dxa"/>
            <w:vAlign w:val="bottom"/>
          </w:tcPr>
          <w:p>
            <w:pPr>
              <w:spacing w:after="0"/>
              <w:rPr>
                <w:sz w:val="1"/>
                <w:szCs w:val="1"/>
                <w:color w:val="auto"/>
              </w:rPr>
            </w:pPr>
          </w:p>
        </w:tc>
      </w:tr>
      <w:tr>
        <w:trPr>
          <w:trHeight w:val="206"/>
        </w:trPr>
        <w:tc>
          <w:tcPr>
            <w:tcW w:w="582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USD</w:t>
            </w:r>
          </w:p>
        </w:tc>
        <w:tc>
          <w:tcPr>
            <w:tcW w:w="18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2,972</w:t>
            </w: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ind w:left="16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w:t>
            </w: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SEK</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GBP</w:t>
            </w:r>
          </w:p>
        </w:tc>
        <w:tc>
          <w:tcPr>
            <w:tcW w:w="2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5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2,869</w:t>
            </w: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ind w:left="16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Capital management</w:t>
      </w:r>
    </w:p>
    <w:p>
      <w:pPr>
        <w:spacing w:after="0" w:line="220" w:lineRule="exact"/>
        <w:rPr>
          <w:sz w:val="20"/>
          <w:szCs w:val="20"/>
          <w:color w:val="auto"/>
        </w:rPr>
      </w:pPr>
    </w:p>
    <w:p>
      <w:pPr>
        <w:jc w:val="both"/>
        <w:ind w:right="120" w:firstLine="318"/>
        <w:spacing w:after="0" w:line="260" w:lineRule="auto"/>
        <w:rPr>
          <w:sz w:val="20"/>
          <w:szCs w:val="20"/>
          <w:color w:val="auto"/>
        </w:rPr>
      </w:pPr>
      <w:r>
        <w:rPr>
          <w:rFonts w:ascii="Times New Roman" w:cs="Times New Roman" w:eastAsia="Times New Roman" w:hAnsi="Times New Roman"/>
          <w:sz w:val="18"/>
          <w:szCs w:val="18"/>
          <w:color w:val="auto"/>
        </w:rPr>
        <w:t>For the purpose of Sono Group’s capital management, capital includes share capital and all other equity reserves attributable to equity holders. The total amount of capital in the reporting year was kEUR 83,439 (previous year: kEUR -5,026). The primary objective of Sono Group’s capital management is to maximize shareholder value through investment in its development activities.</w:t>
      </w:r>
    </w:p>
    <w:p>
      <w:pPr>
        <w:spacing w:after="0" w:line="176"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Based on the current stage of the business cycle of Sono Motors’ products, the electric vehicle Sion, the Sono Digital App and Sono Solar, the Group relies almost exclusively on external financing until the start of production.</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on the capital raised in 2021, please refer to Note 7.8 Equity.</w:t>
      </w:r>
    </w:p>
    <w:p>
      <w:pPr>
        <w:spacing w:after="0" w:line="2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Additional information on financial instruments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 Offsetting of financial assets and liabilities</w:t>
      </w:r>
    </w:p>
    <w:p>
      <w:pPr>
        <w:spacing w:after="0" w:line="220"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Sono Motors neither applies offsetting in the balance sheet nor has any instruments that are subject to a legally enforceable master netting arrangement or a similar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8.3.2 Carrying amounts and fair values</w:t>
      </w:r>
    </w:p>
    <w:p>
      <w:pPr>
        <w:spacing w:after="0" w:line="220"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The table below displays information on fair value measurements, carrying amounts and categorization of financial instruments of Sono Group.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kEUR</w:t>
            </w:r>
          </w:p>
        </w:tc>
        <w:tc>
          <w:tcPr>
            <w:tcW w:w="9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4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category</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320" w:type="dxa"/>
            <w:vAlign w:val="bottom"/>
            <w:gridSpan w:val="3"/>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(IFRS 9)</w:t>
            </w:r>
          </w:p>
        </w:tc>
        <w:tc>
          <w:tcPr>
            <w:tcW w:w="940" w:type="dxa"/>
            <w:vAlign w:val="bottom"/>
            <w:gridSpan w:val="2"/>
            <w:vMerge w:val="continue"/>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w:t>
            </w:r>
          </w:p>
        </w:tc>
        <w:tc>
          <w:tcPr>
            <w:tcW w:w="0" w:type="dxa"/>
            <w:vAlign w:val="bottom"/>
          </w:tcPr>
          <w:p>
            <w:pPr>
              <w:spacing w:after="0"/>
              <w:rPr>
                <w:sz w:val="1"/>
                <w:szCs w:val="1"/>
                <w:color w:val="auto"/>
              </w:rPr>
            </w:pPr>
          </w:p>
        </w:tc>
      </w:tr>
      <w:tr>
        <w:trPr>
          <w:trHeight w:val="206"/>
        </w:trPr>
        <w:tc>
          <w:tcPr>
            <w:tcW w:w="6140" w:type="dxa"/>
            <w:vAlign w:val="bottom"/>
            <w:tcBorders>
              <w:top w:val="single" w:sz="8" w:color="auto"/>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Noncurrent financial assets</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financial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Paypal reserve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from crowdfunding and deposits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Debtor creditors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trade receivables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 trade receivables (affiliated companies)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132,939</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FLAC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FLAC</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FVTPL</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FLAC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9"/>
        </w:trPr>
        <w:tc>
          <w:tcPr>
            <w:tcW w:w="250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3"/>
        <w:spacing w:after="0"/>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approximately equals the fair value, thus no separate fair value disclosure is needed according to IFRS 7.29</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kEUR</w:t>
            </w:r>
          </w:p>
        </w:tc>
        <w:tc>
          <w:tcPr>
            <w:tcW w:w="9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4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category</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320" w:type="dxa"/>
            <w:vAlign w:val="bottom"/>
            <w:gridSpan w:val="3"/>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(IFRS 9)</w:t>
            </w:r>
          </w:p>
        </w:tc>
        <w:tc>
          <w:tcPr>
            <w:tcW w:w="940" w:type="dxa"/>
            <w:vAlign w:val="bottom"/>
            <w:gridSpan w:val="2"/>
            <w:vMerge w:val="continue"/>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w:t>
            </w:r>
          </w:p>
        </w:tc>
        <w:tc>
          <w:tcPr>
            <w:tcW w:w="0" w:type="dxa"/>
            <w:vAlign w:val="bottom"/>
          </w:tcPr>
          <w:p>
            <w:pPr>
              <w:spacing w:after="0"/>
              <w:rPr>
                <w:sz w:val="1"/>
                <w:szCs w:val="1"/>
                <w:color w:val="auto"/>
              </w:rPr>
            </w:pPr>
          </w:p>
        </w:tc>
      </w:tr>
      <w:tr>
        <w:trPr>
          <w:trHeight w:val="206"/>
        </w:trPr>
        <w:tc>
          <w:tcPr>
            <w:tcW w:w="6140" w:type="dxa"/>
            <w:vAlign w:val="bottom"/>
            <w:tcBorders>
              <w:top w:val="single" w:sz="8" w:color="auto"/>
            </w:tcBorders>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Noncurrent financial assets</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financial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PayPal reserves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Debtor creditors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Receivables from crowdfunding and deposits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43,264</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FLAC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FLAC</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FVTPL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FLAC</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9"/>
        </w:trPr>
        <w:tc>
          <w:tcPr>
            <w:tcW w:w="250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right="200" w:hanging="313"/>
        <w:spacing w:after="0" w:line="525" w:lineRule="auto"/>
        <w:tabs>
          <w:tab w:leader="none" w:pos="3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approximately equals the fair value, thus no separate fair value disclosure is needed according to IFRS 7.29 The carrying amounts of each of the categories listed above as defined according to IFRS 9 as of the reporting dates were as follows:</w:t>
      </w:r>
    </w:p>
    <w:p>
      <w:pPr>
        <w:sectPr>
          <w:pgSz w:w="11900" w:h="16838" w:orient="portrait"/>
          <w:cols w:equalWidth="0" w:num="1">
            <w:col w:w="9920"/>
          </w:cols>
          <w:pgMar w:left="980" w:top="506" w:right="999" w:bottom="1440" w:gutter="0" w:footer="0" w:header="0"/>
        </w:sectPr>
      </w:pPr>
    </w:p>
    <w:p>
      <w:pPr>
        <w:spacing w:after="0" w:line="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3"/>
          <w:szCs w:val="13"/>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13335</wp:posOffset>
            </wp:positionV>
            <wp:extent cx="8001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6350</wp:posOffset>
            </wp:positionV>
            <wp:extent cx="8001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200" w:space="680"/>
            <w:col w:w="104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1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Financial assets measured at amortized cost (AC)</w:t>
            </w:r>
          </w:p>
        </w:tc>
        <w:tc>
          <w:tcPr>
            <w:tcW w:w="12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139,263</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48,709</w:t>
            </w:r>
          </w:p>
        </w:tc>
      </w:tr>
      <w:tr>
        <w:trPr>
          <w:trHeight w:val="21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amortized cost (FLAC)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w:t>
            </w:r>
          </w:p>
        </w:tc>
      </w:tr>
      <w:tr>
        <w:trPr>
          <w:trHeight w:val="21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measured at fair value through profit or loss (FVTPL)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r>
    </w:tbl>
    <w:p>
      <w:pPr>
        <w:spacing w:after="0" w:line="194" w:lineRule="exact"/>
        <w:rPr>
          <w:sz w:val="20"/>
          <w:szCs w:val="20"/>
          <w:color w:val="auto"/>
        </w:rPr>
      </w:pPr>
    </w:p>
    <w:p>
      <w:pPr>
        <w:ind w:right="280" w:firstLine="318"/>
        <w:spacing w:after="0" w:line="260" w:lineRule="auto"/>
        <w:rPr>
          <w:sz w:val="20"/>
          <w:szCs w:val="20"/>
          <w:color w:val="auto"/>
        </w:rPr>
      </w:pPr>
      <w:r>
        <w:rPr>
          <w:rFonts w:ascii="Times New Roman" w:cs="Times New Roman" w:eastAsia="Times New Roman" w:hAnsi="Times New Roman"/>
          <w:sz w:val="18"/>
          <w:szCs w:val="18"/>
          <w:color w:val="auto"/>
        </w:rPr>
        <w:t>All financial assets and liabilities for which the fair value is measured or disclosed in the consolidated financial statements are categorized according to the fair value hierarchy, described as follows, based on the lowest level input that is significant to the fair value measurement as a whole:</w:t>
      </w:r>
    </w:p>
    <w:p>
      <w:pPr>
        <w:spacing w:after="0" w:line="176" w:lineRule="exact"/>
        <w:rPr>
          <w:sz w:val="20"/>
          <w:szCs w:val="20"/>
          <w:color w:val="auto"/>
        </w:rPr>
      </w:pPr>
    </w:p>
    <w:p>
      <w:pPr>
        <w:ind w:left="680" w:hanging="328"/>
        <w:spacing w:after="0"/>
        <w:tabs>
          <w:tab w:leader="none" w:pos="6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use quoted prices in active markets for identical assets or liabilities</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inputs, other than quoted prices included in Level 1, which are directly or indirectly observable</w:t>
      </w:r>
    </w:p>
    <w:p>
      <w:pPr>
        <w:spacing w:after="0" w:line="217" w:lineRule="exact"/>
        <w:rPr>
          <w:rFonts w:ascii="Times New Roman" w:cs="Times New Roman" w:eastAsia="Times New Roman" w:hAnsi="Times New Roman"/>
          <w:sz w:val="18"/>
          <w:szCs w:val="18"/>
          <w:color w:val="auto"/>
        </w:rPr>
      </w:pPr>
    </w:p>
    <w:p>
      <w:pPr>
        <w:ind w:left="680" w:right="60" w:hanging="328"/>
        <w:spacing w:after="0" w:line="274" w:lineRule="auto"/>
        <w:tabs>
          <w:tab w:leader="none" w:pos="6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and have values estimated by management based on market participant assumptions which are reasonably available</w:t>
      </w:r>
    </w:p>
    <w:p>
      <w:pPr>
        <w:spacing w:after="0" w:line="164"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Due to their short-term nature, the carrying amounts of the cash and cash equivalents and other current financial assets and liabilities approximate their fair value.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 In case of noncurrent financial assets, the counterparties are reputable financial institutions, thus credit risk has no significant influence on fair value, which leads to a classification as level 2 fair value.</w:t>
      </w:r>
    </w:p>
    <w:p>
      <w:pPr>
        <w:spacing w:after="0" w:line="170"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At the end of fiscal year 2021, Management has determined that the fair values of noncurrent financial liabilities at amortized cost are classified as level 3 as the credit rating is a non-observable input factor with significant influence on the fair value.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right="160" w:firstLine="318"/>
        <w:spacing w:after="0" w:line="255" w:lineRule="auto"/>
        <w:rPr>
          <w:sz w:val="20"/>
          <w:szCs w:val="20"/>
          <w:color w:val="auto"/>
        </w:rPr>
      </w:pPr>
      <w:r>
        <w:rPr>
          <w:rFonts w:ascii="Times New Roman" w:cs="Times New Roman" w:eastAsia="Times New Roman" w:hAnsi="Times New Roman"/>
          <w:sz w:val="18"/>
          <w:szCs w:val="18"/>
          <w:color w:val="auto"/>
        </w:rPr>
        <w:t>At the end of fiscal year 2021, there were no financial liabilities at fair value through profit or loss. In the previous year, management determined that the fair values of financial liabilities at fair value through profit or loss, which consisted solely of mandatory convertible notes, were classified as level 3 as the assumptions for future payouts were non-observable input factors with significant influence on the fair value.</w:t>
      </w:r>
    </w:p>
    <w:p>
      <w:pPr>
        <w:spacing w:after="0" w:line="182" w:lineRule="exact"/>
        <w:rPr>
          <w:sz w:val="20"/>
          <w:szCs w:val="20"/>
          <w:color w:val="auto"/>
        </w:rPr>
      </w:pPr>
    </w:p>
    <w:p>
      <w:pPr>
        <w:jc w:val="both"/>
        <w:ind w:right="40" w:firstLine="318"/>
        <w:spacing w:after="0" w:line="260" w:lineRule="auto"/>
        <w:rPr>
          <w:sz w:val="20"/>
          <w:szCs w:val="20"/>
          <w:color w:val="auto"/>
        </w:rPr>
      </w:pPr>
      <w:r>
        <w:rPr>
          <w:rFonts w:ascii="Times New Roman" w:cs="Times New Roman" w:eastAsia="Times New Roman" w:hAnsi="Times New Roman"/>
          <w:sz w:val="18"/>
          <w:szCs w:val="18"/>
          <w:color w:val="auto"/>
        </w:rPr>
        <w:t>The finance department of Sono Group performs valuations including level 3 fair value measurements. In the reporting period, level 3 fair value measurements only relate to the mandatory convertible notes. Discussions of valuation processes and results are held between the CFO and the valuation team as well as external consultants.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main level 3 inputs used by the Group are derived and evaluated as follows:</w:t>
      </w:r>
    </w:p>
    <w:p>
      <w:pPr>
        <w:spacing w:after="0" w:line="218" w:lineRule="exact"/>
        <w:rPr>
          <w:sz w:val="20"/>
          <w:szCs w:val="20"/>
          <w:color w:val="auto"/>
        </w:rPr>
      </w:pPr>
    </w:p>
    <w:p>
      <w:pPr>
        <w:ind w:left="680" w:right="280" w:hanging="328"/>
        <w:spacing w:after="0" w:line="274" w:lineRule="auto"/>
        <w:tabs>
          <w:tab w:leader="none" w:pos="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for financial liabilities reflect current market assessments of the time value of money and the risk specific to the liabilities.</w:t>
      </w:r>
    </w:p>
    <w:p>
      <w:pPr>
        <w:spacing w:after="0" w:line="164" w:lineRule="exact"/>
        <w:rPr>
          <w:rFonts w:ascii="Times New Roman" w:cs="Times New Roman" w:eastAsia="Times New Roman" w:hAnsi="Times New Roman"/>
          <w:sz w:val="18"/>
          <w:szCs w:val="18"/>
          <w:color w:val="auto"/>
        </w:rPr>
      </w:pPr>
    </w:p>
    <w:p>
      <w:pPr>
        <w:ind w:left="680" w:right="260" w:hanging="328"/>
        <w:spacing w:after="0" w:line="274" w:lineRule="auto"/>
        <w:tabs>
          <w:tab w:leader="none" w:pos="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cash outflows are estimated based on contractual terms and the Management’s knowledge of probabilities of possible contractual payouts.</w:t>
      </w:r>
    </w:p>
    <w:p>
      <w:pPr>
        <w:spacing w:after="0" w:line="164" w:lineRule="exact"/>
        <w:rPr>
          <w:sz w:val="20"/>
          <w:szCs w:val="20"/>
          <w:color w:val="auto"/>
        </w:rPr>
      </w:pPr>
    </w:p>
    <w:p>
      <w:pPr>
        <w:ind w:right="8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quantitative information about significant unobservable inputs used in level 3 fair value measurement: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Range of inputs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Relationship of</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(most likely outcome)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6"/>
          </w:tcPr>
          <w:p>
            <w:pPr>
              <w:jc w:val="center"/>
              <w:ind w:right="340"/>
              <w:spacing w:after="0" w:line="114" w:lineRule="exact"/>
              <w:rPr>
                <w:sz w:val="20"/>
                <w:szCs w:val="20"/>
                <w:color w:val="auto"/>
              </w:rPr>
            </w:pPr>
            <w:r>
              <w:rPr>
                <w:rFonts w:ascii="Times New Roman" w:cs="Times New Roman" w:eastAsia="Times New Roman" w:hAnsi="Times New Roman"/>
                <w:sz w:val="13"/>
                <w:szCs w:val="13"/>
                <w:b w:val="1"/>
                <w:bCs w:val="1"/>
                <w:color w:val="auto"/>
              </w:rPr>
              <w:t>Dec. 31,</w:t>
            </w:r>
          </w:p>
        </w:tc>
        <w:tc>
          <w:tcPr>
            <w:tcW w:w="640" w:type="dxa"/>
            <w:vAlign w:val="bottom"/>
            <w:gridSpan w:val="2"/>
          </w:tcPr>
          <w:p>
            <w:pPr>
              <w:jc w:val="center"/>
              <w:ind w:right="89"/>
              <w:spacing w:after="0" w:line="114" w:lineRule="exact"/>
              <w:rPr>
                <w:sz w:val="20"/>
                <w:szCs w:val="20"/>
                <w:color w:val="auto"/>
              </w:rPr>
            </w:pPr>
            <w:r>
              <w:rPr>
                <w:rFonts w:ascii="Times New Roman" w:cs="Times New Roman" w:eastAsia="Times New Roman" w:hAnsi="Times New Roman"/>
                <w:sz w:val="13"/>
                <w:szCs w:val="13"/>
                <w:b w:val="1"/>
                <w:bCs w:val="1"/>
                <w:color w:val="auto"/>
              </w:rPr>
              <w:t>Dec. 31,</w:t>
            </w:r>
          </w:p>
        </w:tc>
        <w:tc>
          <w:tcPr>
            <w:tcW w:w="180" w:type="dxa"/>
            <w:vAlign w:val="bottom"/>
          </w:tcPr>
          <w:p>
            <w:pPr>
              <w:spacing w:after="0"/>
              <w:rPr>
                <w:sz w:val="9"/>
                <w:szCs w:val="9"/>
                <w:color w:val="auto"/>
              </w:rPr>
            </w:pPr>
          </w:p>
        </w:tc>
        <w:tc>
          <w:tcPr>
            <w:tcW w:w="1600" w:type="dxa"/>
            <w:vAlign w:val="bottom"/>
            <w:gridSpan w:val="5"/>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820" w:type="dxa"/>
            <w:vAlign w:val="bottom"/>
          </w:tcPr>
          <w:p>
            <w:pPr>
              <w:jc w:val="center"/>
              <w:ind w:left="268"/>
              <w:spacing w:after="0" w:line="114" w:lineRule="exact"/>
              <w:rPr>
                <w:sz w:val="20"/>
                <w:szCs w:val="20"/>
                <w:color w:val="auto"/>
              </w:rPr>
            </w:pPr>
            <w:r>
              <w:rPr>
                <w:rFonts w:ascii="Times New Roman" w:cs="Times New Roman" w:eastAsia="Times New Roman" w:hAnsi="Times New Roman"/>
                <w:sz w:val="13"/>
                <w:szCs w:val="13"/>
                <w:b w:val="1"/>
                <w:bCs w:val="1"/>
                <w:color w:val="auto"/>
              </w:rPr>
              <w:t>Dec. 31,</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unobservable inputs to</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8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39"/>
        </w:trPr>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center"/>
              <w:ind w:right="126"/>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center"/>
              <w:ind w:right="6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Mandatory convertible notes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line="206" w:lineRule="exact"/>
              <w:rPr>
                <w:sz w:val="20"/>
                <w:szCs w:val="20"/>
                <w:color w:val="auto"/>
              </w:rPr>
            </w:pPr>
            <w:r>
              <w:rPr>
                <w:rFonts w:ascii="Times New Roman" w:cs="Times New Roman" w:eastAsia="Times New Roman" w:hAnsi="Times New Roman"/>
                <w:sz w:val="18"/>
                <w:szCs w:val="18"/>
                <w:color w:val="auto"/>
              </w:rPr>
              <w:t>6,859</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69"/>
              <w:spacing w:after="0" w:line="206" w:lineRule="exact"/>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80"/>
              <w:spacing w:after="0" w:line="206" w:lineRule="exact"/>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ind w:left="1160"/>
              <w:spacing w:after="0" w:line="206"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7"/>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24"/>
                <w:szCs w:val="24"/>
                <w:color w:val="auto"/>
              </w:rPr>
            </w:pPr>
          </w:p>
        </w:tc>
        <w:tc>
          <w:tcPr>
            <w:tcW w:w="1320" w:type="dxa"/>
            <w:vAlign w:val="bottom"/>
            <w:gridSpan w:val="7"/>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Relationship of</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(most likely outcome)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top w:val="single" w:sz="8" w:color="auto"/>
            </w:tcBorders>
            <w:gridSpan w:val="3"/>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Dec. 31,</w:t>
            </w: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3"/>
          </w:tcPr>
          <w:p>
            <w:pPr>
              <w:jc w:val="center"/>
              <w:ind w:right="20"/>
              <w:spacing w:after="0" w:line="114" w:lineRule="exact"/>
              <w:rPr>
                <w:sz w:val="20"/>
                <w:szCs w:val="20"/>
                <w:color w:val="auto"/>
              </w:rPr>
            </w:pPr>
            <w:r>
              <w:rPr>
                <w:rFonts w:ascii="Times New Roman" w:cs="Times New Roman" w:eastAsia="Times New Roman" w:hAnsi="Times New Roman"/>
                <w:sz w:val="13"/>
                <w:szCs w:val="13"/>
                <w:b w:val="1"/>
                <w:bCs w:val="1"/>
                <w:color w:val="auto"/>
              </w:rPr>
              <w:t>Dec. 31,</w:t>
            </w:r>
          </w:p>
        </w:tc>
        <w:tc>
          <w:tcPr>
            <w:tcW w:w="180" w:type="dxa"/>
            <w:vAlign w:val="bottom"/>
          </w:tcPr>
          <w:p>
            <w:pPr>
              <w:spacing w:after="0"/>
              <w:rPr>
                <w:sz w:val="9"/>
                <w:szCs w:val="9"/>
                <w:color w:val="auto"/>
              </w:rPr>
            </w:pPr>
          </w:p>
        </w:tc>
        <w:tc>
          <w:tcPr>
            <w:tcW w:w="1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228"/>
              <w:spacing w:after="0" w:line="114" w:lineRule="exact"/>
              <w:rPr>
                <w:sz w:val="20"/>
                <w:szCs w:val="20"/>
                <w:color w:val="auto"/>
              </w:rPr>
            </w:pPr>
            <w:r>
              <w:rPr>
                <w:rFonts w:ascii="Times New Roman" w:cs="Times New Roman" w:eastAsia="Times New Roman" w:hAnsi="Times New Roman"/>
                <w:sz w:val="13"/>
                <w:szCs w:val="13"/>
                <w:b w:val="1"/>
                <w:bCs w:val="1"/>
                <w:color w:val="auto"/>
              </w:rPr>
              <w:t>Dec. 31,</w:t>
            </w: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unobservable inputs to</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gridSpan w:val="4"/>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39"/>
        </w:trPr>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44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0" w:type="dxa"/>
            <w:vAlign w:val="bottom"/>
            <w:gridSpan w:val="5"/>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Probability of an</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An increase of the</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‘exit event’ in the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probability to 100 %</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 of</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would increase FV</w:t>
            </w:r>
          </w:p>
        </w:tc>
        <w:tc>
          <w:tcPr>
            <w:tcW w:w="0" w:type="dxa"/>
            <w:vAlign w:val="bottom"/>
          </w:tcPr>
          <w:p>
            <w:pPr>
              <w:spacing w:after="0"/>
              <w:rPr>
                <w:sz w:val="1"/>
                <w:szCs w:val="1"/>
                <w:color w:val="auto"/>
              </w:rPr>
            </w:pPr>
          </w:p>
        </w:tc>
      </w:tr>
      <w:tr>
        <w:trPr>
          <w:trHeight w:val="231"/>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 by kEUR 2,170.</w:t>
            </w: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A decrease of the</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probability to 50 %</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would decrease FV</w:t>
            </w:r>
          </w:p>
        </w:tc>
        <w:tc>
          <w:tcPr>
            <w:tcW w:w="0" w:type="dxa"/>
            <w:vAlign w:val="bottom"/>
          </w:tcPr>
          <w:p>
            <w:pPr>
              <w:spacing w:after="0"/>
              <w:rPr>
                <w:sz w:val="1"/>
                <w:szCs w:val="1"/>
                <w:color w:val="auto"/>
              </w:rPr>
            </w:pPr>
          </w:p>
        </w:tc>
      </w:tr>
      <w:tr>
        <w:trPr>
          <w:trHeight w:val="232"/>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by kEUR - 2,170.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changes in level 3 fair values relating to the mandatory convertible notes for the period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December 31, 2020:</w:t>
      </w:r>
    </w:p>
    <w:p>
      <w:pPr>
        <w:sectPr>
          <w:pgSz w:w="11900" w:h="16838" w:orient="portrait"/>
          <w:cols w:equalWidth="0" w:num="1">
            <w:col w:w="9920"/>
          </w:cols>
          <w:pgMar w:left="980" w:top="506" w:right="999" w:bottom="1440" w:gutter="0" w:footer="0" w:header="0"/>
        </w:sectPr>
      </w:pPr>
    </w:p>
    <w:p>
      <w:pPr>
        <w:spacing w:after="0" w:line="205"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Dec.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6350</wp:posOffset>
            </wp:positionV>
            <wp:extent cx="8001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Dec.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13335</wp:posOffset>
            </wp:positionV>
            <wp:extent cx="8001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kEUR</w:t>
      </w:r>
    </w:p>
    <w:p>
      <w:pPr>
        <w:spacing w:after="0" w:line="1" w:lineRule="exact"/>
        <w:rPr>
          <w:sz w:val="20"/>
          <w:szCs w:val="20"/>
          <w:color w:val="auto"/>
        </w:rPr>
      </w:pPr>
    </w:p>
    <w:p>
      <w:pPr>
        <w:sectPr>
          <w:pgSz w:w="11900" w:h="16838" w:orient="portrait"/>
          <w:cols w:equalWidth="0" w:num="2">
            <w:col w:w="8220" w:space="680"/>
            <w:col w:w="1020"/>
          </w:cols>
          <w:pgMar w:left="980" w:top="506" w:right="9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46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25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6,859</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New transactions</w:t>
            </w:r>
          </w:p>
        </w:tc>
        <w:tc>
          <w:tcPr>
            <w:tcW w:w="25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1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presented in other comprehensive income (OCI)</w:t>
            </w:r>
          </w:p>
        </w:tc>
        <w:tc>
          <w:tcPr>
            <w:tcW w:w="4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Amount presented in profit or loss (interest and other expenses)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fractional shares</w:t>
            </w:r>
          </w:p>
        </w:tc>
        <w:tc>
          <w:tcPr>
            <w:tcW w:w="2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equity</w:t>
            </w:r>
          </w:p>
        </w:tc>
        <w:tc>
          <w:tcPr>
            <w:tcW w:w="4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(9,661)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OCI to accumulated deficit</w:t>
            </w:r>
          </w:p>
        </w:tc>
        <w:tc>
          <w:tcPr>
            <w:tcW w:w="2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4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1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Accumulated deficit</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06"/>
        </w:trPr>
        <w:tc>
          <w:tcPr>
            <w:tcW w:w="46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Balance at end of year</w:t>
            </w:r>
          </w:p>
        </w:tc>
        <w:tc>
          <w:tcPr>
            <w:tcW w:w="25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6,859</w:t>
            </w:r>
          </w:p>
        </w:tc>
      </w:tr>
      <w:tr>
        <w:trPr>
          <w:trHeight w:val="843"/>
        </w:trPr>
        <w:tc>
          <w:tcPr>
            <w:tcW w:w="4660" w:type="dxa"/>
            <w:vAlign w:val="bottom"/>
          </w:tcPr>
          <w:p>
            <w:pPr>
              <w:spacing w:after="0"/>
              <w:rPr>
                <w:sz w:val="24"/>
                <w:szCs w:val="24"/>
                <w:color w:val="auto"/>
              </w:rPr>
            </w:pPr>
          </w:p>
        </w:tc>
        <w:tc>
          <w:tcPr>
            <w:tcW w:w="4000" w:type="dxa"/>
            <w:vAlign w:val="bottom"/>
            <w:gridSpan w:val="3"/>
          </w:tcPr>
          <w:p>
            <w:pPr>
              <w:jc w:val="right"/>
              <w:ind w:right="3520"/>
              <w:spacing w:after="0"/>
              <w:rPr>
                <w:sz w:val="20"/>
                <w:szCs w:val="20"/>
                <w:color w:val="auto"/>
              </w:rPr>
            </w:pPr>
            <w:r>
              <w:rPr>
                <w:rFonts w:ascii="Times New Roman" w:cs="Times New Roman" w:eastAsia="Times New Roman" w:hAnsi="Times New Roman"/>
                <w:sz w:val="18"/>
                <w:szCs w:val="18"/>
                <w:color w:val="auto"/>
              </w:rPr>
              <w:t>F-56</w:t>
            </w:r>
          </w:p>
        </w:tc>
        <w:tc>
          <w:tcPr>
            <w:tcW w:w="1260" w:type="dxa"/>
            <w:vAlign w:val="bottom"/>
          </w:tcPr>
          <w:p>
            <w:pPr>
              <w:spacing w:after="0"/>
              <w:rPr>
                <w:sz w:val="24"/>
                <w:szCs w:val="24"/>
                <w:color w:val="auto"/>
              </w:rPr>
            </w:pPr>
          </w:p>
        </w:tc>
      </w:tr>
      <w:tr>
        <w:trPr>
          <w:trHeight w:val="536"/>
        </w:trPr>
        <w:tc>
          <w:tcPr>
            <w:tcW w:w="4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6" w:right="999" w:bottom="1440" w:gutter="0" w:footer="0" w:header="0"/>
          <w:type w:val="continuous"/>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80" w:firstLine="318"/>
        <w:spacing w:after="0" w:line="282" w:lineRule="auto"/>
        <w:rPr>
          <w:sz w:val="20"/>
          <w:szCs w:val="20"/>
          <w:color w:val="auto"/>
        </w:rPr>
      </w:pPr>
      <w:r>
        <w:rPr>
          <w:rFonts w:ascii="Times New Roman" w:cs="Times New Roman" w:eastAsia="Times New Roman" w:hAnsi="Times New Roman"/>
          <w:sz w:val="17"/>
          <w:szCs w:val="17"/>
          <w:color w:val="auto"/>
        </w:rPr>
        <w:t>For the mandatory convertible notes, the cumulative change in the fair value of the financial liability that is attributable to changes in the credit risk of that liability is kEUR 16 (2020: kEUR -21; 2019: kEUR -). The difference between the financial liability’s carrying amount and the amount Sono Group would be contractually required to pay at maturity is kEUR - (previous year: kEUR 1,662).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8.3.3 Income and expenses</w:t>
      </w:r>
    </w:p>
    <w:p>
      <w:pPr>
        <w:spacing w:after="0" w:line="220"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Total interest income and total interest expense are calculated by applying the EIR method to the gross carrying amount of financial assets and liabilities measured at amortized cost. Total interest income and expenses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39"/>
        </w:trPr>
        <w:tc>
          <w:tcPr>
            <w:tcW w:w="6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ind w:left="26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0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8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6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interest expense for financial assets at amortized cost</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6"/>
              </w:rPr>
              <w:t>156</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w:t>
            </w: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 for financial liabilities at amortized cost</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319</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bl>
    <w:p>
      <w:pPr>
        <w:spacing w:after="0" w:line="19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presented total interest expense for financial assets at amortized cost is included in other general and administrative expenses as it results from negative interest charges.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the net gains or losses of financial instruments by measurement categories: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39"/>
        </w:trPr>
        <w:tc>
          <w:tcPr>
            <w:tcW w:w="62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9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6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loss for financial assets at amortized cost</w:t>
            </w: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w:t>
            </w: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financial liabilities at amortized cost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financial liabilities at fair value through profit or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Net losses for financial assets at amortized cost include changes in the loss allowance as well as losses from interest expenses due to negative interest charges. Net losses for financial liabilities at amortized cost include interest expenses.</w:t>
      </w:r>
    </w:p>
    <w:p>
      <w:pPr>
        <w:spacing w:after="0" w:line="164"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Net losses for financial liabilities at fair value through profit or loss include changes in the fair value measurement of mandatory convertible notes, including fair value changes due to own credit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disclosures</w:t>
      </w:r>
    </w:p>
    <w:p>
      <w:pPr>
        <w:spacing w:after="0" w:line="2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Defined contribution plans (government-run pension plans)</w:t>
      </w:r>
    </w:p>
    <w:p>
      <w:pPr>
        <w:spacing w:after="0" w:line="220"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Sono Motors makes payments under defined contributions plans, related to government-run pension plans. In the financial year 2021, the total expense recognized amounted to kEUR 1,047 (2020: kEUR 491; 2019: kEUR 329).</w:t>
      </w:r>
    </w:p>
    <w:p>
      <w:pPr>
        <w:spacing w:after="0" w:line="16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Government grants</w:t>
      </w:r>
    </w:p>
    <w:p>
      <w:pPr>
        <w:spacing w:after="0" w:line="220"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In fiscal year 2021, other operating income includes an amount of kEUR 71 (2020: kEUR 68; 2019: kEUR 15) related to a grant that Sono Motors received from the EU to promote the development of open-source hardware as part of the “OPEN_NEXT” project. There are no unfulfilled conditions or other contingencies attached to these grants. Sono Motors did not benefit from any other forms of government assistance.</w:t>
      </w:r>
    </w:p>
    <w:p>
      <w:pPr>
        <w:spacing w:after="0" w:line="182"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 “OPEN_NEXT” grant is divided into pre-financing, interim and a final payment. The pre-financing amounts to kEUR 136 and was received by Sono Motors in two installments paid out in 2019 and 2020, each payment amounting to kEUR 68. The grant has the purpose to reimburse Sono Motors for direct personnel costs, direct costs of subcontracting, other direct costs and indirect costs in relation to the development of open-source hardware in the form of company-community collaborations. The payments are deferred and recognized in profit and loss over a period of 18 months each to match them with the costs that they are intended to reimburse. In 2021, one interim grant payment of kEUR 18 was received and recognized in other operating income. The final payment amount depends on the total cost incurred by Sono Motors and will be received in 2023. Due to its inherent uncertainty, it was not recognized in the Group’s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Remuneration based on shares (share-based payment)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9.3.1 Staff members and managers</w:t>
      </w:r>
    </w:p>
    <w:p>
      <w:pPr>
        <w:spacing w:after="0" w:line="22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the first half of 2018, management of Sono Motors has set up two similar employee participation programs for staff members and selected managers. The employee participation programs are based on virtual shares. The virtual share of each employee is determined based on a point system (staff members) respectively a percentage defined in the employment contract (manager). The program provides remuneration in form of the right to participate in Sono Motors’ exit proceeds. The remuneration for managers is subject to the fulfillment of specific vesting conditions. In both programs, which have no time limit regarding the ‘exit-event’, the right to receive a remuneration based on the exit proceeds is achieved if 95 % of the shares of Sono Motors are sold and transferred to a new owner or all material assets of Sono Motors (particularly patents) are sold to a third party. Both employee participation programs are accounted for as cash-settled share-based transactions. However, no expense and liability has been recognized because an ‘exit-event’ and consequently a payment was not probable as of December 31, 2020.</w:t>
      </w:r>
    </w:p>
    <w:p>
      <w:pPr>
        <w:spacing w:after="0" w:line="190"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In December 2020, Management has offered all participants of the existing employee participation program as well as five additional staff members (one active and four former staff members) to transfer or join the new employee participation program (Conversion Stock Option Program or CSOP), which is equity-settled. Therefore, all participants were asked to leave the current employee participation program by signing a cancellation agreement and to join the new program. As of December 31, 2020, 88 employees, including all management-level employees, have signed the CSOP. All participants of the employee participants program for managers have been transferred to the CSOP by December 31, 2020. Consequently, the employee participants program for managers was obsolete as of December 31, 2020.</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the current status of the number of employees as of December 31, 2021:</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Cash-settled</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Equity-settled</w:t>
            </w:r>
          </w:p>
        </w:tc>
      </w:tr>
      <w:tr>
        <w:trPr>
          <w:trHeight w:val="171"/>
        </w:trPr>
        <w:tc>
          <w:tcPr>
            <w:tcW w:w="530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206"/>
        </w:trPr>
        <w:tc>
          <w:tcPr>
            <w:tcW w:w="53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Staff members</w:t>
            </w:r>
          </w:p>
        </w:tc>
        <w:tc>
          <w:tcPr>
            <w:tcW w:w="12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85</w:t>
            </w: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Managers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6"/>
        </w:trPr>
        <w:tc>
          <w:tcPr>
            <w:tcW w:w="53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88</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November 2021, Sono Group successfully completed an IPO and is now listed on the Nasdaq Stock Market.</w:t>
      </w:r>
    </w:p>
    <w:p>
      <w:pPr>
        <w:spacing w:after="0" w:line="21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color w:val="auto"/>
        </w:rPr>
        <w:t>No expense and liability have been recognized for the one participant remaining in the cash-settled program because management does not consider an IPO an ‘exit-event’ in accordance with the cash-settled employee participation program and consequently does not consider a payment to the remaining participant probable as of December 31, 2021.</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Management has determined that an IPO would constitute an ‘exit-event’ according to the CSOP.</w:t>
      </w:r>
    </w:p>
    <w:p>
      <w:pPr>
        <w:spacing w:after="0" w:line="218" w:lineRule="exact"/>
        <w:rPr>
          <w:sz w:val="20"/>
          <w:szCs w:val="20"/>
          <w:color w:val="auto"/>
        </w:rPr>
      </w:pPr>
    </w:p>
    <w:p>
      <w:pPr>
        <w:ind w:right="280" w:firstLine="318"/>
        <w:spacing w:after="0" w:line="282" w:lineRule="auto"/>
        <w:rPr>
          <w:sz w:val="20"/>
          <w:szCs w:val="20"/>
          <w:color w:val="auto"/>
        </w:rPr>
      </w:pPr>
      <w:r>
        <w:rPr>
          <w:rFonts w:ascii="Times New Roman" w:cs="Times New Roman" w:eastAsia="Times New Roman" w:hAnsi="Times New Roman"/>
          <w:sz w:val="17"/>
          <w:szCs w:val="17"/>
          <w:color w:val="auto"/>
        </w:rPr>
        <w:t>For all staff members as well as one manager in the CSOP, all granted share options are fully vested as of December 31, 2021 (also fully vested as of December 31, 2020). They become exercisable one year after an ‘exit-event’. All unexercised share options expire four years after an ‘exit-event’. The weighted average remaining contractual life for the CSOP as of December 31, 2021 is 3.9 years.</w:t>
      </w:r>
    </w:p>
    <w:p>
      <w:pPr>
        <w:spacing w:after="0" w:line="160"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Two managers in the CSOP have a vesting period of 36 months (service condition) for their granted share options, beginning at a contractually set date. If the employment of the managers with Sono Motors GmbH, Munich, Germany, ends during the vesting period, a pro rata exercisability of the share options might be granted, depending on contractually agreed good or bad leaver scenarios. After the vesting period all granted share options become exercisable. Other than that, there are no vesting conditions.</w:t>
      </w:r>
    </w:p>
    <w:p>
      <w:pPr>
        <w:spacing w:after="0" w:line="182"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Sono N.V. initially measures the fair value of the received services by reference to the fair value of the equity instruments (share options) granted and the number of share options contractually agreed on with each participant. Sono N.V. recognizes the fair value of the services as expenses and a corresponding increase in equity when the services are received. If Sono N.V. and the participant did not agree on service conditions (86 participants) and the participant is unconditionally entitled to the share options, Sono N.V. presumes, that the services have been received on grant date and recognizes the services received in full, with a corresponding increase in equity. If Sono N.V. and the participant did agree on service conditions (two participants), Sono N.V. accounts for the services as they are rendered by the participant during the vesting period, with a corresponding increase in equity.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06" w:right="10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illustrates the volume of the program, the weighted average fair value at grant date as well as the total expense of the period and the corresponding increase in equity: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67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Number of options granted</w:t>
            </w:r>
          </w:p>
        </w:tc>
        <w:tc>
          <w:tcPr>
            <w:tcW w:w="12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1,805,100</w:t>
            </w:r>
          </w:p>
        </w:tc>
      </w:tr>
      <w:tr>
        <w:trPr>
          <w:trHeight w:val="212"/>
        </w:trPr>
        <w:tc>
          <w:tcPr>
            <w:tcW w:w="6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at grant date (EUR)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12"/>
        </w:trPr>
        <w:tc>
          <w:tcPr>
            <w:tcW w:w="6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of the period (kEUR)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12"/>
        </w:trPr>
        <w:tc>
          <w:tcPr>
            <w:tcW w:w="6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equity (kEUR)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365"/>
        </w:trPr>
        <w:tc>
          <w:tcPr>
            <w:tcW w:w="680" w:type="dxa"/>
            <w:vAlign w:val="bottom"/>
          </w:tcPr>
          <w:p>
            <w:pPr>
              <w:spacing w:after="0"/>
              <w:rPr>
                <w:sz w:val="24"/>
                <w:szCs w:val="24"/>
                <w:color w:val="auto"/>
              </w:rPr>
            </w:pPr>
          </w:p>
        </w:tc>
        <w:tc>
          <w:tcPr>
            <w:tcW w:w="6720" w:type="dxa"/>
            <w:vAlign w:val="bottom"/>
            <w:tcBorders>
              <w:bottom w:val="single" w:sz="8" w:color="auto"/>
            </w:tcBorders>
          </w:tcPr>
          <w:p>
            <w:pPr>
              <w:jc w:val="center"/>
              <w:ind w:left="113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0" w:type="dxa"/>
            <w:vAlign w:val="bottom"/>
            <w:tcBorders>
              <w:bottom w:val="single" w:sz="8" w:color="auto"/>
            </w:tcBorders>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67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Number of options granted</w:t>
            </w:r>
          </w:p>
        </w:tc>
        <w:tc>
          <w:tcPr>
            <w:tcW w:w="12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1,805,100</w:t>
            </w:r>
          </w:p>
        </w:tc>
      </w:tr>
      <w:tr>
        <w:trPr>
          <w:trHeight w:val="212"/>
        </w:trPr>
        <w:tc>
          <w:tcPr>
            <w:tcW w:w="6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at grant date (EUR)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12"/>
        </w:trPr>
        <w:tc>
          <w:tcPr>
            <w:tcW w:w="6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of the period (kEUR)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32,160</w:t>
            </w:r>
          </w:p>
        </w:tc>
      </w:tr>
      <w:tr>
        <w:trPr>
          <w:trHeight w:val="212"/>
        </w:trPr>
        <w:tc>
          <w:tcPr>
            <w:tcW w:w="6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equity (kEUR)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32,160</w:t>
            </w:r>
          </w:p>
        </w:tc>
      </w:tr>
      <w:tr>
        <w:trPr>
          <w:trHeight w:val="419"/>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the number of, and movements in, share options during the year:</w:t>
            </w:r>
          </w:p>
        </w:tc>
        <w:tc>
          <w:tcPr>
            <w:tcW w:w="1200" w:type="dxa"/>
            <w:vAlign w:val="bottom"/>
          </w:tcPr>
          <w:p>
            <w:pPr>
              <w:spacing w:after="0"/>
              <w:rPr>
                <w:sz w:val="24"/>
                <w:szCs w:val="24"/>
                <w:color w:val="auto"/>
              </w:rPr>
            </w:pPr>
          </w:p>
        </w:tc>
      </w:tr>
      <w:tr>
        <w:trPr>
          <w:trHeight w:val="370"/>
        </w:trPr>
        <w:tc>
          <w:tcPr>
            <w:tcW w:w="7400" w:type="dxa"/>
            <w:vAlign w:val="bottom"/>
            <w:gridSpan w:val="2"/>
          </w:tcPr>
          <w:p>
            <w:pPr>
              <w:jc w:val="center"/>
              <w:ind w:left="180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67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January 1, 2021</w:t>
            </w:r>
          </w:p>
        </w:tc>
        <w:tc>
          <w:tcPr>
            <w:tcW w:w="12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1,805,100</w:t>
            </w:r>
          </w:p>
        </w:tc>
      </w:tr>
      <w:tr>
        <w:trPr>
          <w:trHeight w:val="212"/>
        </w:trPr>
        <w:tc>
          <w:tcPr>
            <w:tcW w:w="6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1,805,100</w:t>
            </w:r>
          </w:p>
        </w:tc>
      </w:tr>
      <w:tr>
        <w:trPr>
          <w:trHeight w:val="365"/>
        </w:trPr>
        <w:tc>
          <w:tcPr>
            <w:tcW w:w="7400" w:type="dxa"/>
            <w:vAlign w:val="bottom"/>
            <w:gridSpan w:val="2"/>
          </w:tcPr>
          <w:p>
            <w:pPr>
              <w:jc w:val="center"/>
              <w:ind w:left="180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67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January 1, 2020</w:t>
            </w:r>
          </w:p>
        </w:tc>
        <w:tc>
          <w:tcPr>
            <w:tcW w:w="12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6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1,805,100</w:t>
            </w:r>
          </w:p>
        </w:tc>
      </w:tr>
      <w:tr>
        <w:trPr>
          <w:trHeight w:val="212"/>
        </w:trPr>
        <w:tc>
          <w:tcPr>
            <w:tcW w:w="6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1,805,100</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exercise price of all share options will be EUR 0.06.</w:t>
      </w:r>
    </w:p>
    <w:p>
      <w:pPr>
        <w:spacing w:after="0" w:line="218"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The fair value of the share options for the equity-settled share-based transactions is measured using Black-Scholes Model and the following inputs:</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Input factor</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630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Weighted average share price (EUR)</w:t>
            </w:r>
          </w:p>
        </w:tc>
        <w:tc>
          <w:tcPr>
            <w:tcW w:w="14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22.01</w:t>
            </w:r>
          </w:p>
        </w:tc>
        <w:tc>
          <w:tcPr>
            <w:tcW w:w="160" w:type="dxa"/>
            <w:vAlign w:val="bottom"/>
            <w:tcBorders>
              <w:top w:val="single" w:sz="8" w:color="CCEEFF"/>
            </w:tcBorders>
            <w:shd w:val="clear" w:color="auto" w:fill="CCEEFF"/>
          </w:tcPr>
          <w:p>
            <w:pPr>
              <w:spacing w:after="0"/>
              <w:rPr>
                <w:sz w:val="17"/>
                <w:szCs w:val="17"/>
                <w:color w:val="auto"/>
              </w:rPr>
            </w:pP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(EUR)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Option life (yrs.)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 (EUR)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18"/>
                <w:szCs w:val="18"/>
                <w:color w:val="auto"/>
              </w:rPr>
            </w:pP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Lack of marketability discount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14.39 %</w:t>
            </w:r>
          </w:p>
        </w:tc>
      </w:tr>
      <w:tr>
        <w:trPr>
          <w:trHeight w:val="20"/>
        </w:trPr>
        <w:tc>
          <w:tcPr>
            <w:tcW w:w="6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expected life of the share options is based on current expectations and is not necessarily indicative of exercise patterns that may occur. The expected volatility was based on an evaluation of historical volatilities of comparable listed peer group companies. The expected volatility reflects the assumption that the historical volatility over a period similar to the life of the options is indicative of future trends, which may not necessarily be the actual outcome.</w:t>
      </w:r>
    </w:p>
    <w:p>
      <w:pPr>
        <w:spacing w:after="0" w:line="182"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2020, the full fair value of the options for the participants, who did not agree on service conditions (86 participants) for the new Conversion Stock Option Program, was recognized as a personnel expense as the program for these participants is fully vested. For the participants, who did agree on service conditions (two participants), Sono N.V. recognized the proportionate fair value as a personnel expense as the program for these participants is not yet fully vested.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9.3.2 Supervisory Board</w:t>
      </w:r>
    </w:p>
    <w:p>
      <w:pPr>
        <w:spacing w:after="0" w:line="22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In November 2021, Sono Group established a supervisory board. As of December 31, 2021, the supervisory board consists of five members. The members receive share-based payment based on awarded restricted stock units (“RSU”), as part of their remuneration. RSU is the right to receive, in cash, in assets, in the form of plan shares valued at fair market value (“FMV”), or a combination, the FMV of one share on the exercise date. FMV is the closing price of a Sono share on the relevant date on the principal stock exchange where Sono shares have been admitted for trading. The RSU agreements were signed on November 25, 2021, by four members of the supervisory board and on February 22, 2022, by one member of the supervisory board. The RSU are vested in four equal installments on each relevant anniversary of November 19, 2021, with the fourth installment vesting on the earlier of (a) the fourth anniversary of November 21, 2021 (b) the annual general meeting of the Sono N.V. to be held in 2025 (exercise dates). The RSUs expire on the tenth anniversary of November 19, 2021. The measurement date for the four members was November 25, 2021 and for one member December 31, 2021. There are no contractual performance obligations. Vested tranches of RSUs may be exercised at the option of Sono Group in cash or in the form of ordinary shares. The weighted average remaining contractual life as of December 31, 2021 is 9.9 years.</w:t>
      </w:r>
    </w:p>
    <w:p>
      <w:pPr>
        <w:spacing w:after="0" w:line="194" w:lineRule="exact"/>
        <w:rPr>
          <w:sz w:val="20"/>
          <w:szCs w:val="20"/>
          <w:color w:val="auto"/>
        </w:rPr>
      </w:pPr>
    </w:p>
    <w:p>
      <w:pPr>
        <w:jc w:val="both"/>
        <w:ind w:right="140" w:firstLine="318"/>
        <w:spacing w:after="0" w:line="260" w:lineRule="auto"/>
        <w:rPr>
          <w:sz w:val="20"/>
          <w:szCs w:val="20"/>
          <w:color w:val="auto"/>
        </w:rPr>
      </w:pPr>
      <w:r>
        <w:rPr>
          <w:rFonts w:ascii="Times New Roman" w:cs="Times New Roman" w:eastAsia="Times New Roman" w:hAnsi="Times New Roman"/>
          <w:sz w:val="18"/>
          <w:szCs w:val="18"/>
          <w:color w:val="auto"/>
        </w:rPr>
        <w:t>Sono Group considers the RSU a transaction in which the terms of the arrangement provide Sono Group with a choice of settlement. Management determined that Sono Group does not have an obligation to settle in cash and therefore accounts for the transactions with the requirements applying to equity-settled share-based payment transactions.</w:t>
      </w:r>
    </w:p>
    <w:p>
      <w:pPr>
        <w:spacing w:after="0" w:line="17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Sono N.V. initially measures the fair value of the received services by reference to the fair value of the equity instruments (share options) granted and the number of share options contractually agreed on with member of the supervisory board. Sono N.V. recognizes the fair value of the services as expenses and a corresponding increase in equity when as the services are rendered by the members of the supervisory board during the vesting period, with a corresponding increase in equity.</w:t>
      </w:r>
    </w:p>
    <w:p>
      <w:pPr>
        <w:spacing w:after="0" w:line="182"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illustrates the volume of the program, the weighted average fair value at measurement date as well as the total expense of the period and the corresponding increase in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Number of options granted</w:t>
            </w:r>
          </w:p>
        </w:tc>
        <w:tc>
          <w:tcPr>
            <w:tcW w:w="15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86,411</w:t>
            </w:r>
          </w:p>
        </w:tc>
      </w:tr>
      <w:tr>
        <w:trPr>
          <w:trHeight w:val="21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at measurement date (EUR)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12"/>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of the period (kEUR)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equity (kEUR)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0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2021 Sono N.V. recognized the proportionate fair value as other general and administrative expense.</w:t>
            </w:r>
          </w:p>
        </w:tc>
        <w:tc>
          <w:tcPr>
            <w:tcW w:w="1500" w:type="dxa"/>
            <w:vAlign w:val="bottom"/>
          </w:tcPr>
          <w:p>
            <w:pPr>
              <w:spacing w:after="0"/>
              <w:rPr>
                <w:sz w:val="24"/>
                <w:szCs w:val="24"/>
                <w:color w:val="auto"/>
              </w:rPr>
            </w:pPr>
          </w:p>
        </w:tc>
      </w:tr>
      <w:tr>
        <w:trPr>
          <w:trHeight w:val="424"/>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number of, and movements in, share options during the year:</w:t>
            </w:r>
          </w:p>
        </w:tc>
        <w:tc>
          <w:tcPr>
            <w:tcW w:w="1500" w:type="dxa"/>
            <w:vAlign w:val="bottom"/>
          </w:tcPr>
          <w:p>
            <w:pPr>
              <w:spacing w:after="0"/>
              <w:rPr>
                <w:sz w:val="24"/>
                <w:szCs w:val="24"/>
                <w:color w:val="auto"/>
              </w:rPr>
            </w:pPr>
          </w:p>
        </w:tc>
      </w:tr>
      <w:tr>
        <w:trPr>
          <w:trHeight w:val="370"/>
        </w:trPr>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00" w:type="dxa"/>
            <w:vAlign w:val="bottom"/>
            <w:tcBorders>
              <w:bottom w:val="single" w:sz="8" w:color="auto"/>
            </w:tcBorders>
          </w:tcPr>
          <w:p>
            <w:pPr>
              <w:spacing w:after="0"/>
              <w:rPr>
                <w:sz w:val="24"/>
                <w:szCs w:val="24"/>
                <w:color w:val="auto"/>
              </w:rPr>
            </w:pPr>
          </w:p>
        </w:tc>
      </w:tr>
      <w:tr>
        <w:trPr>
          <w:trHeight w:val="206"/>
        </w:trPr>
        <w:tc>
          <w:tcPr>
            <w:tcW w:w="84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January 1, 2021</w:t>
            </w:r>
          </w:p>
        </w:tc>
        <w:tc>
          <w:tcPr>
            <w:tcW w:w="15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86,411</w:t>
            </w:r>
          </w:p>
        </w:tc>
      </w:tr>
      <w:tr>
        <w:trPr>
          <w:trHeight w:val="212"/>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86,411</w:t>
            </w: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exercise price of all share options will be EUR 0.00.</w:t>
      </w:r>
    </w:p>
    <w:p>
      <w:pPr>
        <w:spacing w:after="0" w:line="2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0"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by dividing earnings attributable to Sono N.V. shareholders by the weighted average number of ordinary and high voting shares outstanding during the reporting period. The high voting shares entitle the shareholders to additional voting rights, but not to higher dividend rights. There are currently no factors resulting in a dilution of earnings per share. As a result, basic earnings per share equals diluted earnings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4"/>
                <w:szCs w:val="14"/>
                <w:color w:val="auto"/>
              </w:rPr>
            </w:pPr>
          </w:p>
        </w:tc>
      </w:tr>
      <w:tr>
        <w:trPr>
          <w:trHeight w:val="139"/>
        </w:trPr>
        <w:tc>
          <w:tcPr>
            <w:tcW w:w="62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20"/>
              <w:spacing w:after="0" w:line="139" w:lineRule="exact"/>
              <w:rPr>
                <w:sz w:val="20"/>
                <w:szCs w:val="20"/>
                <w:color w:val="auto"/>
              </w:rPr>
            </w:pPr>
            <w:r>
              <w:rPr>
                <w:rFonts w:ascii="Times New Roman" w:cs="Times New Roman" w:eastAsia="Times New Roman" w:hAnsi="Times New Roman"/>
                <w:sz w:val="14"/>
                <w:szCs w:val="14"/>
                <w:b w:val="1"/>
                <w:bCs w:val="1"/>
                <w:color w:val="auto"/>
              </w:rPr>
              <w:t>EUR</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20"/>
              <w:spacing w:after="0" w:line="139" w:lineRule="exact"/>
              <w:rPr>
                <w:sz w:val="20"/>
                <w:szCs w:val="20"/>
                <w:color w:val="auto"/>
              </w:rPr>
            </w:pPr>
            <w:r>
              <w:rPr>
                <w:rFonts w:ascii="Times New Roman" w:cs="Times New Roman" w:eastAsia="Times New Roman" w:hAnsi="Times New Roman"/>
                <w:sz w:val="14"/>
                <w:szCs w:val="14"/>
                <w:b w:val="1"/>
                <w:bCs w:val="1"/>
                <w:color w:val="auto"/>
              </w:rPr>
              <w:t>EUR</w:t>
            </w: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20"/>
              <w:spacing w:after="0" w:line="139" w:lineRule="exact"/>
              <w:rPr>
                <w:sz w:val="20"/>
                <w:szCs w:val="20"/>
                <w:color w:val="auto"/>
              </w:rPr>
            </w:pPr>
            <w:r>
              <w:rPr>
                <w:rFonts w:ascii="Times New Roman" w:cs="Times New Roman" w:eastAsia="Times New Roman" w:hAnsi="Times New Roman"/>
                <w:sz w:val="14"/>
                <w:szCs w:val="14"/>
                <w:b w:val="1"/>
                <w:bCs w:val="1"/>
                <w:color w:val="auto"/>
              </w:rPr>
              <w:t>EUR</w:t>
            </w:r>
          </w:p>
        </w:tc>
        <w:tc>
          <w:tcPr>
            <w:tcW w:w="20" w:type="dxa"/>
            <w:vAlign w:val="bottom"/>
          </w:tcPr>
          <w:p>
            <w:pPr>
              <w:spacing w:after="0"/>
              <w:rPr>
                <w:sz w:val="12"/>
                <w:szCs w:val="12"/>
                <w:color w:val="auto"/>
              </w:rPr>
            </w:pPr>
          </w:p>
        </w:tc>
      </w:tr>
      <w:tr>
        <w:trPr>
          <w:trHeight w:val="174"/>
        </w:trPr>
        <w:tc>
          <w:tcPr>
            <w:tcW w:w="62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From continuing operations attributable to the ordinary equity holders of the</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20"/>
                <w:szCs w:val="20"/>
                <w:color w:val="auto"/>
              </w:rPr>
            </w:pPr>
          </w:p>
        </w:tc>
      </w:tr>
      <w:tr>
        <w:trPr>
          <w:trHeight w:val="206"/>
        </w:trPr>
        <w:tc>
          <w:tcPr>
            <w:tcW w:w="62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(0.97)</w:t>
            </w:r>
          </w:p>
        </w:tc>
        <w:tc>
          <w:tcPr>
            <w:tcW w:w="1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auto"/>
            </w:tcBorders>
          </w:tcPr>
          <w:p>
            <w:pPr>
              <w:spacing w:after="0"/>
              <w:rPr>
                <w:sz w:val="17"/>
                <w:szCs w:val="17"/>
                <w:color w:val="auto"/>
              </w:rPr>
            </w:pPr>
          </w:p>
        </w:tc>
      </w:tr>
    </w:tbl>
    <w:p>
      <w:pPr>
        <w:spacing w:after="0" w:line="194" w:lineRule="exact"/>
        <w:rPr>
          <w:sz w:val="20"/>
          <w:szCs w:val="20"/>
          <w:color w:val="auto"/>
        </w:rPr>
      </w:pPr>
    </w:p>
    <w:p>
      <w:pPr>
        <w:ind w:right="340" w:firstLine="318"/>
        <w:spacing w:after="0" w:line="275" w:lineRule="auto"/>
        <w:rPr>
          <w:sz w:val="20"/>
          <w:szCs w:val="20"/>
          <w:color w:val="auto"/>
        </w:rPr>
      </w:pPr>
      <w:r>
        <w:rPr>
          <w:rFonts w:ascii="Times New Roman" w:cs="Times New Roman" w:eastAsia="Times New Roman" w:hAnsi="Times New Roman"/>
          <w:sz w:val="17"/>
          <w:szCs w:val="17"/>
          <w:color w:val="auto"/>
        </w:rPr>
        <w:t>The capital increase and the IPO have resulted in an increase in the number of shares in the reporting year. Moreover, the weighted number of shares was adjusted retroactively in accordance with IAS 33.28 to reflect the issue of bonus shares in 2021. The adjusted weighted number of shares increased to 59,836,824 in the reporting year (2020: 57,684,220; 2019: 56,860,720). Due to the adjustment, reported earnings per share for 2020 have increased from EUR -1.66 to EUR -0.97 (2019: from EUR -0.30 to EUR -0.18).</w:t>
      </w:r>
    </w:p>
    <w:p>
      <w:pPr>
        <w:spacing w:after="0" w:line="165"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options granted under IFRS 2 have not been included in the determination of earnings per share. Details relating to these options are set out in note 9.3 Remuneration based on shares (share-based payment).</w:t>
      </w:r>
    </w:p>
    <w:p>
      <w:pPr>
        <w:spacing w:after="0" w:line="16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Related parties of Sono Group include the following persons as well as their close family members:</w:t>
      </w:r>
    </w:p>
    <w:p>
      <w:pPr>
        <w:spacing w:after="0" w:line="218" w:lineRule="exact"/>
        <w:rPr>
          <w:sz w:val="20"/>
          <w:szCs w:val="20"/>
          <w:color w:val="auto"/>
        </w:rPr>
      </w:pPr>
    </w:p>
    <w:p>
      <w:pPr>
        <w:ind w:left="680" w:hanging="328"/>
        <w:spacing w:after="0"/>
        <w:tabs>
          <w:tab w:leader="none" w:pos="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C-level Management</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Board members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Further, related parties of Sono Group also include the following entities:</w:t>
      </w:r>
    </w:p>
    <w:p>
      <w:pPr>
        <w:spacing w:after="0" w:line="218" w:lineRule="exact"/>
        <w:rPr>
          <w:sz w:val="20"/>
          <w:szCs w:val="20"/>
          <w:color w:val="auto"/>
        </w:rPr>
      </w:pPr>
    </w:p>
    <w:p>
      <w:pPr>
        <w:ind w:left="680" w:hanging="328"/>
        <w:spacing w:after="0"/>
        <w:tabs>
          <w:tab w:leader="none" w:pos="6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Management UG</w:t>
      </w:r>
    </w:p>
    <w:p>
      <w:pPr>
        <w:spacing w:after="0" w:line="21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Investment UG</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Sono N.V. is not controlled by any other entity, but controls Sono Motors GmbH as of December 31, 2021.</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displays the compensation of key management personnel: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39"/>
        </w:trPr>
        <w:tc>
          <w:tcPr>
            <w:tcW w:w="250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9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62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Short-term employee benefits</w:t>
            </w: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1,317</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558</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589</w:t>
            </w:r>
          </w:p>
        </w:tc>
      </w:tr>
      <w:tr>
        <w:trPr>
          <w:trHeight w:val="212"/>
        </w:trPr>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62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compensation</w:t>
            </w: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3,215</w:t>
            </w:r>
          </w:p>
        </w:tc>
        <w:tc>
          <w:tcPr>
            <w:tcW w:w="2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6,387</w:t>
            </w:r>
          </w:p>
        </w:tc>
        <w:tc>
          <w:tcPr>
            <w:tcW w:w="1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589</w:t>
            </w:r>
          </w:p>
        </w:tc>
      </w:tr>
      <w:tr>
        <w:trPr>
          <w:trHeight w:val="99"/>
        </w:trPr>
        <w:tc>
          <w:tcPr>
            <w:tcW w:w="250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spacing w:after="0" w:line="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17"/>
          <w:szCs w:val="17"/>
          <w:color w:val="auto"/>
        </w:rPr>
        <w:t>thereof kEUR 2,577 for key management personnel leaving in 2019</w:t>
      </w:r>
    </w:p>
    <w:p>
      <w:pPr>
        <w:spacing w:after="0" w:line="219"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Some of the key management personnel do participate in the employee participation program. For details on this program, please refer to note 4.11 Share-based payment and 9.3 Remuneration based on shares (share-based payment).</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displays loans and advance payments received from key management personnel and other related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39"/>
        </w:trPr>
        <w:tc>
          <w:tcPr>
            <w:tcW w:w="250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9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77"/>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62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Loans from key management personnel (subordinated crowdfunding loan II)</w:t>
            </w: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6"/>
        </w:trPr>
        <w:tc>
          <w:tcPr>
            <w:tcW w:w="250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201</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191</w:t>
            </w:r>
          </w:p>
        </w:tc>
      </w:tr>
      <w:tr>
        <w:trPr>
          <w:trHeight w:val="206"/>
        </w:trPr>
        <w:tc>
          <w:tcPr>
            <w:tcW w:w="6240" w:type="dxa"/>
            <w:vAlign w:val="bottom"/>
            <w:tcBorders>
              <w:bottom w:val="single" w:sz="8" w:color="CCEEFF"/>
            </w:tcBorders>
            <w:gridSpan w:val="2"/>
          </w:tcPr>
          <w:p>
            <w:pPr>
              <w:spacing w:after="0" w:line="206" w:lineRule="exact"/>
              <w:rPr>
                <w:sz w:val="20"/>
                <w:szCs w:val="20"/>
                <w:color w:val="auto"/>
              </w:rPr>
            </w:pPr>
            <w:r>
              <w:rPr>
                <w:rFonts w:ascii="Times New Roman" w:cs="Times New Roman" w:eastAsia="Times New Roman" w:hAnsi="Times New Roman"/>
                <w:sz w:val="18"/>
                <w:szCs w:val="18"/>
                <w:color w:val="auto"/>
              </w:rPr>
              <w:t>Advance payments received from key management personnel*</w:t>
            </w:r>
          </w:p>
        </w:tc>
        <w:tc>
          <w:tcPr>
            <w:tcW w:w="11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06"/>
        </w:trPr>
        <w:tc>
          <w:tcPr>
            <w:tcW w:w="62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191</w:t>
            </w:r>
          </w:p>
        </w:tc>
      </w:tr>
      <w:tr>
        <w:trPr>
          <w:trHeight w:val="99"/>
        </w:trPr>
        <w:tc>
          <w:tcPr>
            <w:tcW w:w="250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spacing w:after="0" w:line="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for which 9 Sono points have been granted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terms and conditions of the subordinated crowdfunding loan II, we refer to note 7.10.2 Other noncurrent financial liabilities.</w:t>
      </w:r>
    </w:p>
    <w:p>
      <w:pPr>
        <w:spacing w:after="0" w:line="21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main shareholders of Sono N.V. have significant influence over Sono Motors Investment UG, Munich. Therefore, Sono Motors Investment UG is considered a related party. Sono Motors has received a loan amounting to kEUR 185 from Sono Motors Investment UG in 2019. The loan was due December 31, 2020, interest-paying at arm’s length (4 % p.a.) and unsecured. As of December 31, 2020, the loan had not been repaid as of the balance sheet date. Instead, it was paid back on January 5, 2021.</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color w:val="auto"/>
        </w:rPr>
        <w:t>Reconciliation of changes in liabilities arising from financing activities</w:t>
      </w:r>
    </w:p>
    <w:p>
      <w:pPr>
        <w:spacing w:after="0" w:line="220"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The statement of cash flows presents information on the cash flow from operating, financing and investing activities. In fiscal year 2021 and previous years, non-cash financing and investing activities include the acquisition of right-of-use assets (see note 7.3 Right-of-use assets). The table below presents a reconciliation of liabilities arising from financing activities.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 1,</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86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Non-cash changes</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 31,</w:t>
            </w:r>
          </w:p>
        </w:tc>
      </w:tr>
      <w:tr>
        <w:trPr>
          <w:trHeight w:val="139"/>
        </w:trPr>
        <w:tc>
          <w:tcPr>
            <w:tcW w:w="2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rPr>
              <w:t>flows</w:t>
            </w:r>
          </w:p>
        </w:tc>
        <w:tc>
          <w:tcPr>
            <w:tcW w:w="9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EIR method</w:t>
            </w:r>
          </w:p>
        </w:tc>
        <w:tc>
          <w:tcPr>
            <w:tcW w:w="9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720" w:type="dxa"/>
            <w:vAlign w:val="bottom"/>
          </w:tcPr>
          <w:p>
            <w:pPr>
              <w:jc w:val="right"/>
              <w:ind w:right="99"/>
              <w:spacing w:after="0" w:line="13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39"/>
        </w:trPr>
        <w:tc>
          <w:tcPr>
            <w:tcW w:w="2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7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r>
      <w:tr>
        <w:trPr>
          <w:trHeight w:val="206"/>
        </w:trPr>
        <w:tc>
          <w:tcPr>
            <w:tcW w:w="2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r>
      <w:tr>
        <w:trPr>
          <w:trHeight w:val="212"/>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06"/>
        </w:trPr>
        <w:tc>
          <w:tcPr>
            <w:tcW w:w="2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14,723</w:t>
            </w:r>
          </w:p>
        </w:tc>
        <w:tc>
          <w:tcPr>
            <w:tcW w:w="1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(2,565)</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1,496</w:t>
            </w:r>
          </w:p>
        </w:tc>
        <w:tc>
          <w:tcPr>
            <w:tcW w:w="1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(6,859)</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6,825</w:t>
            </w:r>
          </w:p>
        </w:tc>
      </w:tr>
      <w:tr>
        <w:trPr>
          <w:trHeight w:val="99"/>
        </w:trPr>
        <w:tc>
          <w:tcPr>
            <w:tcW w:w="250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74" w:lineRule="exact"/>
        <w:rPr>
          <w:sz w:val="20"/>
          <w:szCs w:val="20"/>
          <w:color w:val="auto"/>
        </w:rPr>
      </w:pPr>
    </w:p>
    <w:p>
      <w:pPr>
        <w:ind w:left="320" w:hanging="313"/>
        <w:spacing w:after="0"/>
        <w:tabs>
          <w:tab w:leader="none" w:pos="3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current and noncurrent financial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Jan. 1,</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Non-cash changes</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41"/>
        </w:trPr>
        <w:tc>
          <w:tcPr>
            <w:tcW w:w="2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EIR</w:t>
            </w:r>
          </w:p>
        </w:tc>
        <w:tc>
          <w:tcPr>
            <w:tcW w:w="2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method</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06"/>
        </w:trPr>
        <w:tc>
          <w:tcPr>
            <w:tcW w:w="250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5"/>
              </w:rPr>
              <w:t>kEUR</w:t>
            </w:r>
          </w:p>
        </w:tc>
        <w:tc>
          <w:tcPr>
            <w:tcW w:w="1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5"/>
              </w:rPr>
              <w:t>kEUR</w:t>
            </w:r>
          </w:p>
        </w:tc>
        <w:tc>
          <w:tcPr>
            <w:tcW w:w="18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kEUR</w:t>
            </w:r>
          </w:p>
        </w:tc>
        <w:tc>
          <w:tcPr>
            <w:tcW w:w="2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kEUR</w:t>
            </w:r>
          </w:p>
        </w:tc>
        <w:tc>
          <w:tcPr>
            <w:tcW w:w="1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55"/>
              <w:spacing w:after="0" w:line="206" w:lineRule="exact"/>
              <w:rPr>
                <w:sz w:val="20"/>
                <w:szCs w:val="20"/>
                <w:color w:val="auto"/>
              </w:rPr>
            </w:pPr>
            <w:r>
              <w:rPr>
                <w:rFonts w:ascii="Times New Roman" w:cs="Times New Roman" w:eastAsia="Times New Roman" w:hAnsi="Times New Roman"/>
                <w:sz w:val="18"/>
                <w:szCs w:val="18"/>
                <w:b w:val="1"/>
                <w:bCs w:val="1"/>
                <w:color w:val="auto"/>
              </w:rPr>
              <w:t>kEUR</w:t>
            </w:r>
          </w:p>
        </w:tc>
        <w:tc>
          <w:tcPr>
            <w:tcW w:w="18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kEUR</w:t>
            </w:r>
          </w:p>
        </w:tc>
        <w:tc>
          <w:tcPr>
            <w:tcW w:w="0" w:type="dxa"/>
            <w:vAlign w:val="bottom"/>
          </w:tcPr>
          <w:p>
            <w:pPr>
              <w:spacing w:after="0"/>
              <w:rPr>
                <w:sz w:val="1"/>
                <w:szCs w:val="1"/>
                <w:color w:val="auto"/>
              </w:rPr>
            </w:pPr>
          </w:p>
        </w:tc>
      </w:tr>
      <w:tr>
        <w:trPr>
          <w:trHeight w:val="206"/>
        </w:trPr>
        <w:tc>
          <w:tcPr>
            <w:tcW w:w="462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Financial liabilities*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(650)</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0" w:type="dxa"/>
            <w:vAlign w:val="bottom"/>
          </w:tcPr>
          <w:p>
            <w:pPr>
              <w:spacing w:after="0"/>
              <w:rPr>
                <w:sz w:val="1"/>
                <w:szCs w:val="1"/>
                <w:color w:val="auto"/>
              </w:rPr>
            </w:pPr>
          </w:p>
        </w:tc>
      </w:tr>
      <w:tr>
        <w:trPr>
          <w:trHeight w:val="212"/>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8,478</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8,049</w:t>
            </w:r>
          </w:p>
        </w:tc>
        <w:tc>
          <w:tcPr>
            <w:tcW w:w="1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482</w:t>
            </w:r>
          </w:p>
        </w:tc>
        <w:tc>
          <w:tcPr>
            <w:tcW w:w="2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(638)</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(1,648)</w:t>
            </w:r>
          </w:p>
        </w:tc>
        <w:tc>
          <w:tcPr>
            <w:tcW w:w="1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14,723</w:t>
            </w:r>
          </w:p>
        </w:tc>
        <w:tc>
          <w:tcPr>
            <w:tcW w:w="0" w:type="dxa"/>
            <w:vAlign w:val="bottom"/>
          </w:tcPr>
          <w:p>
            <w:pPr>
              <w:spacing w:after="0"/>
              <w:rPr>
                <w:sz w:val="1"/>
                <w:szCs w:val="1"/>
                <w:color w:val="auto"/>
              </w:rPr>
            </w:pPr>
          </w:p>
        </w:tc>
      </w:tr>
      <w:tr>
        <w:trPr>
          <w:trHeight w:val="99"/>
        </w:trPr>
        <w:tc>
          <w:tcPr>
            <w:tcW w:w="250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3"/>
        <w:spacing w:after="0"/>
        <w:tabs>
          <w:tab w:leader="none" w:pos="3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current and noncurrent financial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Jan. 1,</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Non-cash changes</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15"/>
        </w:trPr>
        <w:tc>
          <w:tcPr>
            <w:tcW w:w="46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2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EIR</w:t>
            </w:r>
          </w:p>
        </w:tc>
        <w:tc>
          <w:tcPr>
            <w:tcW w:w="200" w:type="dxa"/>
            <w:vAlign w:val="bottom"/>
          </w:tcPr>
          <w:p>
            <w:pPr>
              <w:spacing w:after="0"/>
              <w:rPr>
                <w:sz w:val="9"/>
                <w:szCs w:val="9"/>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method</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39"/>
        </w:trPr>
        <w:tc>
          <w:tcPr>
            <w:tcW w:w="46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9"/>
              <w:spacing w:after="0" w:line="139" w:lineRule="exact"/>
              <w:rPr>
                <w:sz w:val="20"/>
                <w:szCs w:val="20"/>
                <w:color w:val="auto"/>
              </w:rPr>
            </w:pPr>
            <w:r>
              <w:rPr>
                <w:rFonts w:ascii="Times New Roman" w:cs="Times New Roman" w:eastAsia="Times New Roman" w:hAnsi="Times New Roman"/>
                <w:sz w:val="14"/>
                <w:szCs w:val="14"/>
                <w:b w:val="1"/>
                <w:bCs w:val="1"/>
                <w:color w:val="auto"/>
              </w:rPr>
              <w:t>kEUR</w:t>
            </w:r>
          </w:p>
        </w:tc>
        <w:tc>
          <w:tcPr>
            <w:tcW w:w="1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kEUR</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Financial liabilities*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06"/>
        </w:trPr>
        <w:tc>
          <w:tcPr>
            <w:tcW w:w="46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2,067</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3,618</w:t>
            </w:r>
          </w:p>
        </w:tc>
        <w:tc>
          <w:tcPr>
            <w:tcW w:w="1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192</w:t>
            </w:r>
          </w:p>
        </w:tc>
        <w:tc>
          <w:tcPr>
            <w:tcW w:w="2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2,320</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281</w:t>
            </w:r>
          </w:p>
        </w:tc>
        <w:tc>
          <w:tcPr>
            <w:tcW w:w="1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8,478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column “EIR method” includes both interest paid and non-cash interest expenses.</w:t>
      </w:r>
    </w:p>
    <w:p>
      <w:pPr>
        <w:spacing w:after="0" w:line="218" w:lineRule="exact"/>
        <w:rPr>
          <w:sz w:val="20"/>
          <w:szCs w:val="20"/>
          <w:color w:val="auto"/>
        </w:rPr>
      </w:pPr>
    </w:p>
    <w:p>
      <w:pPr>
        <w:ind w:right="440" w:firstLine="318"/>
        <w:spacing w:after="0" w:line="255" w:lineRule="auto"/>
        <w:rPr>
          <w:sz w:val="20"/>
          <w:szCs w:val="20"/>
          <w:color w:val="auto"/>
        </w:rPr>
      </w:pPr>
      <w:r>
        <w:rPr>
          <w:rFonts w:ascii="Times New Roman" w:cs="Times New Roman" w:eastAsia="Times New Roman" w:hAnsi="Times New Roman"/>
          <w:sz w:val="18"/>
          <w:szCs w:val="18"/>
          <w:color w:val="auto"/>
        </w:rPr>
        <w:t>In the reporting year, other non-cash changes include the transfer of the mandatory convertible notes to equity and the fair-value changes of the mandatory convertible notes. In fiscal year 2020, other non-cash changes include a transfer from debt to equity (kEUR -1,648) in connection with a settlement agreement with a capital provider. For further details, we refer to note 7.10.1 Financial liabilities overview.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9.7.1 Production of Sion</w:t>
      </w:r>
    </w:p>
    <w:p>
      <w:pPr>
        <w:spacing w:after="0" w:line="220" w:lineRule="exact"/>
        <w:rPr>
          <w:sz w:val="20"/>
          <w:szCs w:val="20"/>
          <w:color w:val="auto"/>
        </w:rPr>
      </w:pPr>
    </w:p>
    <w:p>
      <w:pPr>
        <w:ind w:right="20" w:firstLine="318"/>
        <w:spacing w:after="0" w:line="275" w:lineRule="auto"/>
        <w:rPr>
          <w:sz w:val="20"/>
          <w:szCs w:val="20"/>
          <w:color w:val="auto"/>
        </w:rPr>
      </w:pPr>
      <w:r>
        <w:rPr>
          <w:rFonts w:ascii="Times New Roman" w:cs="Times New Roman" w:eastAsia="Times New Roman" w:hAnsi="Times New Roman"/>
          <w:sz w:val="17"/>
          <w:szCs w:val="17"/>
          <w:color w:val="auto"/>
        </w:rPr>
        <w:t>Sono Group intends to outsource the Sion’s production to Valmet Automotive in Uusikaupunki, Finland. As of the the issuance date of the consolidated financial statements our arrangement with Valmet Automotive is of a preliminary and basic nature and various aspects of our commercial and legal relationship with Valmet Automotive, as well as details of the production of the Sion, will have to be clarified and stipulated in a finalized principal contractual framework with Valmet Automotive in advance of the production of our vehicles.</w:t>
      </w:r>
    </w:p>
    <w:p>
      <w:pPr>
        <w:spacing w:after="0" w:line="165"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color w:val="auto"/>
        </w:rPr>
        <w:t>The change to Valmet Automotive and the development of new production lines leads to a new estimated date for start of production. Accordingly Sono Motors currently projects that it will deliver its first Sion in the second half of 2023. Sono Motors expects to produce and deliver the first Sion in late 2023. The Valmet Automotive facilities in Uusikaupunki allow for the production of a low four-digit volume in 2023, which is expected to be followed by a steady ramp-up over the coming months. The financial impact on the consolidated financial statements resulting from the change to Valmet Automotive cannot be reliably estimated yet.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9.7.2 New employees share-based payment program</w:t>
      </w:r>
    </w:p>
    <w:p>
      <w:pPr>
        <w:spacing w:after="0" w:line="220"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Sono Group plans to introduce a new, equity settled ESOP in the second quarter of 2022. The program will be offered to all regular employees except the top management.</w:t>
      </w:r>
    </w:p>
    <w:p>
      <w:pPr>
        <w:spacing w:after="0" w:line="164"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vesting period will go back to 2021. Starting with the second quarter of 2022, management expects the ESOP to have a material impact on the consolidated financial statements of Sono Group. In these consolidated financial statements, no impact of the new ESOP has been considered as the program was not communicated to employees until the second quarter of 2022. The financial impact of the program on the consolidated financial statements cannot be reliably estimated yet.</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may be a new program for the management in the future, but these considerations are at a very early stage.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Approval of these consolidated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Munich, March 19,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 N.V.</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the Management of Sono Group N.V.</w:t>
      </w:r>
    </w:p>
    <w:p>
      <w:pPr>
        <w:sectPr>
          <w:pgSz w:w="11900" w:h="16838" w:orient="portrait"/>
          <w:cols w:equalWidth="0" w:num="1">
            <w:col w:w="9920"/>
          </w:cols>
          <w:pgMar w:left="980" w:top="506" w:right="999"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Laurin Hahn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Jona Christians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Torsten Kiedel</w:t>
      </w:r>
    </w:p>
    <w:p>
      <w:pPr>
        <w:spacing w:after="0" w:line="200" w:lineRule="exact"/>
        <w:rPr>
          <w:sz w:val="20"/>
          <w:szCs w:val="20"/>
          <w:color w:val="auto"/>
        </w:rPr>
      </w:pPr>
    </w:p>
    <w:p>
      <w:pPr>
        <w:sectPr>
          <w:pgSz w:w="11900" w:h="16838" w:orient="portrait"/>
          <w:cols w:equalWidth="0" w:num="3">
            <w:col w:w="1900" w:space="720"/>
            <w:col w:w="2620" w:space="720"/>
            <w:col w:w="3960"/>
          </w:cols>
          <w:pgMar w:left="980" w:top="506" w:right="9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Hausch</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Markus Volmer</w:t>
      </w:r>
    </w:p>
    <w:p>
      <w:pPr>
        <w:spacing w:after="0" w:line="200" w:lineRule="exact"/>
        <w:rPr>
          <w:sz w:val="20"/>
          <w:szCs w:val="20"/>
          <w:color w:val="auto"/>
        </w:rPr>
      </w:pPr>
    </w:p>
    <w:p>
      <w:pPr>
        <w:sectPr>
          <w:pgSz w:w="11900" w:h="16838" w:orient="portrait"/>
          <w:cols w:equalWidth="0" w:num="2">
            <w:col w:w="1900" w:space="720"/>
            <w:col w:w="7300"/>
          </w:cols>
          <w:pgMar w:left="980" w:top="506"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452755</wp:posOffset>
            </wp:positionV>
            <wp:extent cx="62922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5"/>
          <w:szCs w:val="25"/>
          <w:b w:val="1"/>
          <w:bCs w:val="1"/>
          <w:color w:val="231F20"/>
        </w:rPr>
        <w:t>14,138,867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3187065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2479675</wp:posOffset>
            </wp:positionV>
            <wp:extent cx="62922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2505075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694055</wp:posOffset>
            </wp:positionV>
            <wp:extent cx="2181860" cy="4381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81860" cy="438150"/>
                    </a:xfrm>
                    <a:prstGeom prst="rect">
                      <a:avLst/>
                    </a:prstGeom>
                    <a:noFill/>
                  </pic:spPr>
                </pic:pic>
              </a:graphicData>
            </a:graphic>
          </wp:anchor>
        </w:drawing>
      </w:r>
    </w:p>
    <w:p>
      <w:pPr>
        <w:sectPr>
          <w:pgSz w:w="11900" w:h="16838" w:orient="portrait"/>
          <w:cols w:equalWidth="0" w:num="1">
            <w:col w:w="9479"/>
          </w:cols>
          <w:pgMar w:left="980" w:top="506"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PART 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INFORMATION NOT REQUIRED IN PROSPECTUS</w:t>
      </w:r>
    </w:p>
    <w:p>
      <w:pPr>
        <w:spacing w:after="0" w:line="2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6.</w:t>
      </w:r>
      <w:r>
        <w:rPr>
          <w:sz w:val="20"/>
          <w:szCs w:val="20"/>
          <w:color w:val="auto"/>
        </w:rPr>
        <w:tab/>
      </w:r>
      <w:r>
        <w:rPr>
          <w:rFonts w:ascii="Times New Roman" w:cs="Times New Roman" w:eastAsia="Times New Roman" w:hAnsi="Times New Roman"/>
          <w:sz w:val="17"/>
          <w:szCs w:val="17"/>
          <w:b w:val="1"/>
          <w:bCs w:val="1"/>
          <w:color w:val="231F20"/>
        </w:rPr>
        <w:t>Indemnification of Directors and Officers</w:t>
      </w:r>
    </w:p>
    <w:p>
      <w:pPr>
        <w:spacing w:after="0" w:line="220"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231F20"/>
        </w:rPr>
        <w:t>Under Dutch law, management board members and supervisory board members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management board members and supervisory board members (and other current and former officers and employees as designated by our management board, subject to approval by our supervisory board). No indemnification shall be given to an indemnified person:</w:t>
      </w:r>
    </w:p>
    <w:p>
      <w:pPr>
        <w:spacing w:after="0" w:line="149" w:lineRule="exact"/>
        <w:rPr>
          <w:sz w:val="20"/>
          <w:szCs w:val="20"/>
          <w:color w:val="auto"/>
        </w:rPr>
      </w:pPr>
    </w:p>
    <w:p>
      <w:pPr>
        <w:ind w:left="640" w:right="140" w:hanging="315"/>
        <w:spacing w:after="0" w:line="255" w:lineRule="auto"/>
        <w:tabs>
          <w:tab w:leader="none" w:pos="640" w:val="left"/>
        </w:tabs>
        <w:numPr>
          <w:ilvl w:val="0"/>
          <w:numId w:val="1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41" w:lineRule="exact"/>
        <w:rPr>
          <w:rFonts w:ascii="Times New Roman" w:cs="Times New Roman" w:eastAsia="Times New Roman" w:hAnsi="Times New Roman"/>
          <w:sz w:val="18"/>
          <w:szCs w:val="18"/>
          <w:color w:val="231F20"/>
        </w:rPr>
      </w:pPr>
    </w:p>
    <w:p>
      <w:pPr>
        <w:ind w:left="640" w:right="60" w:hanging="315"/>
        <w:spacing w:after="0" w:line="304" w:lineRule="auto"/>
        <w:tabs>
          <w:tab w:leader="none" w:pos="640" w:val="left"/>
        </w:tabs>
        <w:numPr>
          <w:ilvl w:val="0"/>
          <w:numId w:val="1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01" w:lineRule="exact"/>
        <w:rPr>
          <w:rFonts w:ascii="Times New Roman" w:cs="Times New Roman" w:eastAsia="Times New Roman" w:hAnsi="Times New Roman"/>
          <w:sz w:val="17"/>
          <w:szCs w:val="17"/>
          <w:color w:val="231F20"/>
        </w:rPr>
      </w:pPr>
    </w:p>
    <w:p>
      <w:pPr>
        <w:ind w:left="640" w:right="80" w:hanging="315"/>
        <w:spacing w:after="0" w:line="255" w:lineRule="auto"/>
        <w:tabs>
          <w:tab w:leader="none" w:pos="640" w:val="left"/>
        </w:tabs>
        <w:numPr>
          <w:ilvl w:val="0"/>
          <w:numId w:val="1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management board or pursuant to insurance taken out by the company for the benefit of such indemnified person; and</w:t>
      </w:r>
    </w:p>
    <w:p>
      <w:pPr>
        <w:spacing w:after="0" w:line="141" w:lineRule="exact"/>
        <w:rPr>
          <w:rFonts w:ascii="Times New Roman" w:cs="Times New Roman" w:eastAsia="Times New Roman" w:hAnsi="Times New Roman"/>
          <w:sz w:val="18"/>
          <w:szCs w:val="18"/>
          <w:color w:val="231F20"/>
        </w:rPr>
      </w:pPr>
    </w:p>
    <w:p>
      <w:pPr>
        <w:ind w:left="640" w:right="300" w:hanging="315"/>
        <w:spacing w:after="0" w:line="274" w:lineRule="auto"/>
        <w:tabs>
          <w:tab w:leader="none" w:pos="640" w:val="left"/>
        </w:tabs>
        <w:numPr>
          <w:ilvl w:val="0"/>
          <w:numId w:val="1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financial losses, damages or expenses incurred in connection with a settlement of any proceedings effected without the company’s prior consent.</w:t>
      </w:r>
    </w:p>
    <w:p>
      <w:pPr>
        <w:spacing w:after="0" w:line="124"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231F20"/>
        </w:rPr>
        <w:t>Under our articles of association, our management board may stipulate additional terms, conditions and restrictions in relation to the indemnification described above.</w:t>
      </w:r>
    </w:p>
    <w:p>
      <w:pPr>
        <w:spacing w:after="0" w:line="164" w:lineRule="exact"/>
        <w:rPr>
          <w:sz w:val="20"/>
          <w:szCs w:val="20"/>
          <w:color w:val="auto"/>
        </w:rPr>
      </w:pPr>
    </w:p>
    <w:p>
      <w:pPr>
        <w:jc w:val="both"/>
        <w:ind w:right="140" w:firstLine="318"/>
        <w:spacing w:after="0" w:line="26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231F20"/>
        </w:rPr>
        <w:t>Item 7.</w:t>
      </w:r>
      <w:r>
        <w:rPr>
          <w:sz w:val="20"/>
          <w:szCs w:val="20"/>
          <w:color w:val="auto"/>
        </w:rPr>
        <w:tab/>
      </w:r>
      <w:r>
        <w:rPr>
          <w:rFonts w:ascii="Times New Roman" w:cs="Times New Roman" w:eastAsia="Times New Roman" w:hAnsi="Times New Roman"/>
          <w:sz w:val="17"/>
          <w:szCs w:val="17"/>
          <w:b w:val="1"/>
          <w:bCs w:val="1"/>
          <w:color w:val="231F20"/>
        </w:rPr>
        <w:t>Recent Sales of Unregistered Securities</w:t>
      </w:r>
    </w:p>
    <w:p>
      <w:pPr>
        <w:spacing w:after="0" w:line="218" w:lineRule="exact"/>
        <w:rPr>
          <w:sz w:val="20"/>
          <w:szCs w:val="20"/>
          <w:color w:val="auto"/>
        </w:rPr>
      </w:pPr>
    </w:p>
    <w:p>
      <w:pPr>
        <w:jc w:val="both"/>
        <w:ind w:right="160" w:firstLine="318"/>
        <w:spacing w:after="0" w:line="276" w:lineRule="auto"/>
        <w:rPr>
          <w:sz w:val="20"/>
          <w:szCs w:val="20"/>
          <w:color w:val="auto"/>
        </w:rPr>
      </w:pPr>
      <w:r>
        <w:rPr>
          <w:rFonts w:ascii="Times New Roman" w:cs="Times New Roman" w:eastAsia="Times New Roman" w:hAnsi="Times New Roman"/>
          <w:sz w:val="18"/>
          <w:szCs w:val="18"/>
          <w:color w:val="231F20"/>
        </w:rPr>
        <w:t>Set forth below are the sales of all securities sold by Sono Motors GmbH within the past three years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since January 1, 2019 up to the date of this registration statement) which were not registered under the Securities Act:</w:t>
      </w:r>
    </w:p>
    <w:p>
      <w:pPr>
        <w:spacing w:after="0" w:line="163" w:lineRule="exact"/>
        <w:rPr>
          <w:sz w:val="20"/>
          <w:szCs w:val="20"/>
          <w:color w:val="auto"/>
        </w:rPr>
      </w:pPr>
    </w:p>
    <w:p>
      <w:pPr>
        <w:ind w:left="680" w:hanging="328"/>
        <w:spacing w:after="0" w:line="260" w:lineRule="auto"/>
        <w:tabs>
          <w:tab w:leader="none" w:pos="680" w:val="left"/>
        </w:tabs>
        <w:numPr>
          <w:ilvl w:val="0"/>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February 5, 2019, our share capital as registered with the commercial register was increased by €467.00 to €32,512.00 by issuing 467 shares. In addition to the nominal value of shares (€ 467.00), the shareholders made cash contributions into our capital reserves of € 1,603,058.20.</w:t>
      </w:r>
    </w:p>
    <w:p>
      <w:pPr>
        <w:spacing w:after="0" w:line="176" w:lineRule="exact"/>
        <w:rPr>
          <w:rFonts w:ascii="Times New Roman" w:cs="Times New Roman" w:eastAsia="Times New Roman" w:hAnsi="Times New Roman"/>
          <w:sz w:val="18"/>
          <w:szCs w:val="18"/>
          <w:color w:val="231F20"/>
        </w:rPr>
      </w:pPr>
    </w:p>
    <w:p>
      <w:pPr>
        <w:ind w:left="680" w:right="260" w:hanging="328"/>
        <w:spacing w:after="0" w:line="260" w:lineRule="auto"/>
        <w:tabs>
          <w:tab w:leader="none" w:pos="680" w:val="left"/>
        </w:tabs>
        <w:numPr>
          <w:ilvl w:val="0"/>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April 5, 2019, our share capital as registered with the commercial register was increased by €1,076.00 to €33,588.00 by issuing 1,076 shares. In addition to the nominal value of shares (€ 1,076.00), the shareholders made cash contributions into our capital reserves of € 3,693,650.93.</w:t>
      </w:r>
    </w:p>
    <w:p>
      <w:pPr>
        <w:spacing w:after="0" w:line="176" w:lineRule="exact"/>
        <w:rPr>
          <w:rFonts w:ascii="Times New Roman" w:cs="Times New Roman" w:eastAsia="Times New Roman" w:hAnsi="Times New Roman"/>
          <w:sz w:val="18"/>
          <w:szCs w:val="18"/>
          <w:color w:val="231F20"/>
        </w:rPr>
      </w:pPr>
    </w:p>
    <w:p>
      <w:pPr>
        <w:ind w:left="680" w:right="40" w:hanging="328"/>
        <w:spacing w:after="0" w:line="255" w:lineRule="auto"/>
        <w:tabs>
          <w:tab w:leader="none" w:pos="680" w:val="left"/>
        </w:tabs>
        <w:numPr>
          <w:ilvl w:val="0"/>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November 25, 2020, a newly incorporated private company with limited liability under Dutch law, Sono Motors Finance B.V., issued 34,068,000 ordinary shares in its capital to the shareholder of Sono Motors GmbH, by way of a capital increase against contribution in kind of all shares in the capital of Sono Motors GmbH. Consequently, the subscribed capital as registered with the trade register of the Dutch Chamber of Commerce amounted to €2,044,080.</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80" w:right="100" w:hanging="328"/>
        <w:spacing w:after="0" w:line="255" w:lineRule="auto"/>
        <w:tabs>
          <w:tab w:leader="none" w:pos="680" w:val="left"/>
        </w:tabs>
        <w:numPr>
          <w:ilvl w:val="0"/>
          <w:numId w:val="1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November 27, 2020, Sono Motors Finance B.V. was converted into a public company with limited liability under Dutch law, named Sono Group N.V., and 3,000,000 ordinary shares were converted into 3,000,000 high voting shares. Consequently, the subscribed capital of Sono Group N.V. as registered with the trade register of the Dutch Chamber of Commerce was increased by €2,044,080 to €6,364,080.</w:t>
      </w:r>
    </w:p>
    <w:p>
      <w:pPr>
        <w:spacing w:after="0" w:line="181" w:lineRule="exact"/>
        <w:rPr>
          <w:rFonts w:ascii="Times New Roman" w:cs="Times New Roman" w:eastAsia="Times New Roman" w:hAnsi="Times New Roman"/>
          <w:sz w:val="18"/>
          <w:szCs w:val="18"/>
          <w:color w:val="231F20"/>
        </w:rPr>
      </w:pPr>
    </w:p>
    <w:p>
      <w:pPr>
        <w:ind w:left="680" w:right="40" w:hanging="328"/>
        <w:spacing w:after="0" w:line="282" w:lineRule="auto"/>
        <w:tabs>
          <w:tab w:leader="none" w:pos="680" w:val="left"/>
        </w:tabs>
        <w:numPr>
          <w:ilvl w:val="0"/>
          <w:numId w:val="1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 December 10, 2020, the subscribed capital of Sono Group N.V. as registered with the trade register of the Dutch Chamber of Commerce was increased by €104,111.82 to €6,468,191.82 by issuing 1,735,197 ordinary shares. In addition to the nominal value of ordinary shares (€ 104,111.82), the shareholders made cash contributions into our share premium reserves of € 38,095,888.18.</w:t>
      </w:r>
    </w:p>
    <w:p>
      <w:pPr>
        <w:spacing w:after="0" w:line="159" w:lineRule="exact"/>
        <w:rPr>
          <w:rFonts w:ascii="Times New Roman" w:cs="Times New Roman" w:eastAsia="Times New Roman" w:hAnsi="Times New Roman"/>
          <w:sz w:val="17"/>
          <w:szCs w:val="17"/>
          <w:color w:val="231F20"/>
        </w:rPr>
      </w:pPr>
    </w:p>
    <w:p>
      <w:pPr>
        <w:ind w:left="680" w:right="240" w:hanging="328"/>
        <w:spacing w:after="0" w:line="260" w:lineRule="auto"/>
        <w:tabs>
          <w:tab w:leader="none" w:pos="680" w:val="left"/>
        </w:tabs>
        <w:numPr>
          <w:ilvl w:val="0"/>
          <w:numId w:val="1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May 7, 2021, the subscribed capital of Sono Group N.V. as registered with the trade register of the Dutch Chamber of Commerce was increased by €2,725.44 to €6,470,917.26 by issuing 45,424 ordinary shares. In addition to the nominal value of ordinary shares (€2,725.44), the shareholders made cash contributions into our share premium reserves of €992,274.56.</w:t>
      </w:r>
    </w:p>
    <w:p>
      <w:pPr>
        <w:spacing w:after="0" w:line="176" w:lineRule="exact"/>
        <w:rPr>
          <w:rFonts w:ascii="Times New Roman" w:cs="Times New Roman" w:eastAsia="Times New Roman" w:hAnsi="Times New Roman"/>
          <w:sz w:val="18"/>
          <w:szCs w:val="18"/>
          <w:color w:val="231F20"/>
        </w:rPr>
      </w:pPr>
    </w:p>
    <w:p>
      <w:pPr>
        <w:ind w:left="680" w:right="240" w:hanging="328"/>
        <w:spacing w:after="0" w:line="260" w:lineRule="auto"/>
        <w:tabs>
          <w:tab w:leader="none" w:pos="680" w:val="left"/>
        </w:tabs>
        <w:numPr>
          <w:ilvl w:val="0"/>
          <w:numId w:val="1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June 25, 2021, the subscribed capital of Sono Group N.V. as registered with the trade register of the Dutch Chamber of Commerce was increased by €1,362.72 to €6,472,279.98 by issuing 22,712 ordinary shares. In addition to the nominal value of ordinary shares (€1,362.72), the shareholders made cash contributions into our share premium reserves of €498,637.28.</w:t>
      </w:r>
    </w:p>
    <w:p>
      <w:pPr>
        <w:spacing w:after="0" w:line="176" w:lineRule="exact"/>
        <w:rPr>
          <w:rFonts w:ascii="Times New Roman" w:cs="Times New Roman" w:eastAsia="Times New Roman" w:hAnsi="Times New Roman"/>
          <w:sz w:val="18"/>
          <w:szCs w:val="18"/>
          <w:color w:val="231F20"/>
        </w:rPr>
      </w:pPr>
    </w:p>
    <w:p>
      <w:pPr>
        <w:ind w:left="680" w:right="180" w:hanging="328"/>
        <w:spacing w:after="0" w:line="271" w:lineRule="auto"/>
        <w:tabs>
          <w:tab w:leader="none" w:pos="680" w:val="left"/>
        </w:tabs>
        <w:numPr>
          <w:ilvl w:val="0"/>
          <w:numId w:val="1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On June 13, 2022, we entered into the Purchase Agreement with Joh. Berenberg, Gossler &amp; Co. KG, pursuant to which we have the right to sell Joh. Berenberg, Gossler &amp; Co. KG up to $150,000,000 in ordinary shares, subject to certain limitations and the satisfaction of specified conditions in the Purchase Agreement, from time to time over the 24-month period commencing on the date that a registration statement covering the resale of such shares is declared effective by the SEC. Through the date of this prospectus, we have sold 3,361,133 common shares to Joh. Berenberg, Gossler &amp; Co. KG pursuant to the Purchase Agreement.</w:t>
      </w:r>
    </w:p>
    <w:p>
      <w:pPr>
        <w:spacing w:after="0" w:line="170" w:lineRule="exact"/>
        <w:rPr>
          <w:sz w:val="20"/>
          <w:szCs w:val="20"/>
          <w:color w:val="auto"/>
        </w:rPr>
      </w:pPr>
    </w:p>
    <w:p>
      <w:pPr>
        <w:jc w:val="both"/>
        <w:ind w:right="580" w:firstLine="318"/>
        <w:spacing w:after="0" w:line="260" w:lineRule="auto"/>
        <w:rPr>
          <w:sz w:val="20"/>
          <w:szCs w:val="20"/>
          <w:color w:val="auto"/>
        </w:rPr>
      </w:pPr>
      <w:r>
        <w:rPr>
          <w:rFonts w:ascii="Times New Roman" w:cs="Times New Roman" w:eastAsia="Times New Roman" w:hAnsi="Times New Roman"/>
          <w:sz w:val="18"/>
          <w:szCs w:val="18"/>
          <w:color w:val="231F20"/>
        </w:rPr>
        <w:t>The issuances of restricted securities in the transactions described above were deemed to be exempt from registration under the Securities Act in reliance upon the Section 4(a)(2) of the Securities Act, Regulation D promulgated under the Securities Act and/or Regulation S promulgated under the Securities Act.</w:t>
      </w:r>
    </w:p>
    <w:p>
      <w:pPr>
        <w:spacing w:after="0" w:line="1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8.</w:t>
      </w:r>
      <w:r>
        <w:rPr>
          <w:sz w:val="20"/>
          <w:szCs w:val="20"/>
          <w:color w:val="auto"/>
        </w:rPr>
        <w:tab/>
      </w:r>
      <w:r>
        <w:rPr>
          <w:rFonts w:ascii="Times New Roman" w:cs="Times New Roman" w:eastAsia="Times New Roman" w:hAnsi="Times New Roman"/>
          <w:sz w:val="17"/>
          <w:szCs w:val="17"/>
          <w:b w:val="1"/>
          <w:bCs w:val="1"/>
          <w:color w:val="231F20"/>
        </w:rPr>
        <w:t>Exhibits and Financial Statement Schedule</w:t>
      </w:r>
    </w:p>
    <w:p>
      <w:pPr>
        <w:spacing w:after="0" w:line="220"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231F20"/>
        </w:rPr>
        <w:t>The exhibits listed in the exhibit index, appearing elsewhere in this registration statement, have been filed as a part of this registration statement.</w:t>
      </w:r>
    </w:p>
    <w:p>
      <w:pPr>
        <w:spacing w:after="0" w:line="164" w:lineRule="exact"/>
        <w:rPr>
          <w:sz w:val="20"/>
          <w:szCs w:val="20"/>
          <w:color w:val="auto"/>
        </w:rPr>
      </w:pPr>
    </w:p>
    <w:p>
      <w:pPr>
        <w:ind w:right="800" w:firstLine="318"/>
        <w:spacing w:after="0" w:line="274" w:lineRule="auto"/>
        <w:rPr>
          <w:sz w:val="20"/>
          <w:szCs w:val="20"/>
          <w:color w:val="auto"/>
        </w:rPr>
      </w:pPr>
      <w:r>
        <w:rPr>
          <w:rFonts w:ascii="Times New Roman" w:cs="Times New Roman" w:eastAsia="Times New Roman" w:hAnsi="Times New Roman"/>
          <w:sz w:val="18"/>
          <w:szCs w:val="18"/>
          <w:color w:val="231F20"/>
        </w:rPr>
        <w:t>All schedules have been omitted since they are not required or are not applicable or the required information is shown in the consolidated financial statements or notes thereto.</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9.</w:t>
      </w:r>
      <w:r>
        <w:rPr>
          <w:sz w:val="20"/>
          <w:szCs w:val="20"/>
          <w:color w:val="auto"/>
        </w:rPr>
        <w:tab/>
      </w:r>
      <w:r>
        <w:rPr>
          <w:rFonts w:ascii="Times New Roman" w:cs="Times New Roman" w:eastAsia="Times New Roman" w:hAnsi="Times New Roman"/>
          <w:sz w:val="17"/>
          <w:szCs w:val="17"/>
          <w:b w:val="1"/>
          <w:bCs w:val="1"/>
          <w:color w:val="231F20"/>
        </w:rPr>
        <w:t>Undertakings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18" w:lineRule="exact"/>
        <w:rPr>
          <w:sz w:val="20"/>
          <w:szCs w:val="20"/>
          <w:color w:val="auto"/>
        </w:rPr>
      </w:pPr>
    </w:p>
    <w:p>
      <w:pPr>
        <w:ind w:left="680" w:hanging="328"/>
        <w:spacing w:after="0"/>
        <w:tabs>
          <w:tab w:leader="none" w:pos="6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17" w:lineRule="exact"/>
        <w:rPr>
          <w:rFonts w:ascii="Times New Roman" w:cs="Times New Roman" w:eastAsia="Times New Roman" w:hAnsi="Times New Roman"/>
          <w:sz w:val="18"/>
          <w:szCs w:val="18"/>
          <w:color w:val="auto"/>
        </w:rPr>
      </w:pPr>
    </w:p>
    <w:p>
      <w:pPr>
        <w:ind w:left="980" w:hanging="310"/>
        <w:spacing w:after="0"/>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17" w:lineRule="exact"/>
        <w:rPr>
          <w:rFonts w:ascii="Times New Roman" w:cs="Times New Roman" w:eastAsia="Times New Roman" w:hAnsi="Times New Roman"/>
          <w:sz w:val="18"/>
          <w:szCs w:val="18"/>
          <w:color w:val="auto"/>
        </w:rPr>
      </w:pPr>
    </w:p>
    <w:p>
      <w:pPr>
        <w:ind w:left="980" w:hanging="310"/>
        <w:spacing w:after="0" w:line="250"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980" w:right="120" w:hanging="310"/>
        <w:spacing w:after="0" w:line="274"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4" w:lineRule="exact"/>
        <w:rPr>
          <w:rFonts w:ascii="Times New Roman" w:cs="Times New Roman" w:eastAsia="Times New Roman" w:hAnsi="Times New Roman"/>
          <w:sz w:val="18"/>
          <w:szCs w:val="18"/>
          <w:color w:val="auto"/>
        </w:rPr>
      </w:pPr>
    </w:p>
    <w:p>
      <w:pPr>
        <w:ind w:left="680" w:right="220" w:hanging="328"/>
        <w:spacing w:after="0" w:line="260" w:lineRule="auto"/>
        <w:tabs>
          <w:tab w:leader="none" w:pos="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left="680" w:right="200" w:hanging="328"/>
        <w:spacing w:after="0" w:line="274" w:lineRule="auto"/>
        <w:tabs>
          <w:tab w:leader="none" w:pos="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4" w:lineRule="exact"/>
        <w:rPr>
          <w:rFonts w:ascii="Times New Roman" w:cs="Times New Roman" w:eastAsia="Times New Roman" w:hAnsi="Times New Roman"/>
          <w:sz w:val="18"/>
          <w:szCs w:val="18"/>
          <w:color w:val="auto"/>
        </w:rPr>
      </w:pPr>
    </w:p>
    <w:p>
      <w:pPr>
        <w:ind w:left="680" w:right="100" w:hanging="328"/>
        <w:spacing w:after="0" w:line="274" w:lineRule="auto"/>
        <w:tabs>
          <w:tab w:leader="none" w:pos="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64" w:lineRule="exact"/>
        <w:rPr>
          <w:rFonts w:ascii="Times New Roman" w:cs="Times New Roman" w:eastAsia="Times New Roman" w:hAnsi="Times New Roman"/>
          <w:sz w:val="18"/>
          <w:szCs w:val="18"/>
          <w:color w:val="auto"/>
        </w:rPr>
      </w:pPr>
    </w:p>
    <w:p>
      <w:pPr>
        <w:ind w:left="680" w:right="20" w:hanging="328"/>
        <w:spacing w:after="0" w:line="249" w:lineRule="auto"/>
        <w:tabs>
          <w:tab w:leader="none" w:pos="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rFonts w:ascii="Times New Roman" w:cs="Times New Roman" w:eastAsia="Times New Roman" w:hAnsi="Times New Roman"/>
          <w:sz w:val="18"/>
          <w:szCs w:val="18"/>
          <w:color w:val="auto"/>
        </w:rPr>
      </w:pPr>
    </w:p>
    <w:p>
      <w:pPr>
        <w:ind w:left="680" w:right="80" w:hanging="328"/>
        <w:spacing w:after="0" w:line="253" w:lineRule="auto"/>
        <w:tabs>
          <w:tab w:leader="none" w:pos="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2" w:lineRule="exact"/>
        <w:rPr>
          <w:rFonts w:ascii="Times New Roman" w:cs="Times New Roman" w:eastAsia="Times New Roman" w:hAnsi="Times New Roman"/>
          <w:sz w:val="18"/>
          <w:szCs w:val="18"/>
          <w:color w:val="auto"/>
        </w:rPr>
      </w:pPr>
    </w:p>
    <w:p>
      <w:pPr>
        <w:ind w:left="980" w:right="380" w:hanging="310"/>
        <w:spacing w:after="0" w:line="274"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64" w:lineRule="exact"/>
        <w:rPr>
          <w:rFonts w:ascii="Times New Roman" w:cs="Times New Roman" w:eastAsia="Times New Roman" w:hAnsi="Times New Roman"/>
          <w:sz w:val="18"/>
          <w:szCs w:val="18"/>
          <w:color w:val="auto"/>
        </w:rPr>
      </w:pPr>
    </w:p>
    <w:p>
      <w:pPr>
        <w:ind w:left="980" w:right="220" w:hanging="310"/>
        <w:spacing w:after="0" w:line="274"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4" w:lineRule="exact"/>
        <w:rPr>
          <w:rFonts w:ascii="Times New Roman" w:cs="Times New Roman" w:eastAsia="Times New Roman" w:hAnsi="Times New Roman"/>
          <w:sz w:val="18"/>
          <w:szCs w:val="18"/>
          <w:color w:val="auto"/>
        </w:rPr>
      </w:pPr>
    </w:p>
    <w:p>
      <w:pPr>
        <w:ind w:left="980" w:right="420" w:hanging="310"/>
        <w:spacing w:after="0" w:line="274"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4" w:lineRule="exact"/>
        <w:rPr>
          <w:rFonts w:ascii="Times New Roman" w:cs="Times New Roman" w:eastAsia="Times New Roman" w:hAnsi="Times New Roman"/>
          <w:sz w:val="18"/>
          <w:szCs w:val="18"/>
          <w:color w:val="auto"/>
        </w:rPr>
      </w:pPr>
    </w:p>
    <w:p>
      <w:pPr>
        <w:ind w:left="980" w:hanging="310"/>
        <w:spacing w:after="0"/>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1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06" w:right="10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20" w:type="dxa"/>
            <w:vAlign w:val="bottom"/>
            <w:gridSpan w:val="28"/>
          </w:tcPr>
          <w:p>
            <w:pPr>
              <w:ind w:left="980"/>
              <w:spacing w:after="0"/>
              <w:rPr>
                <w:sz w:val="20"/>
                <w:szCs w:val="20"/>
                <w:color w:val="auto"/>
              </w:rPr>
            </w:pPr>
            <w:r>
              <w:rPr>
                <w:rFonts w:ascii="Times New Roman" w:cs="Times New Roman" w:eastAsia="Times New Roman" w:hAnsi="Times New Roman"/>
                <w:sz w:val="18"/>
                <w:szCs w:val="18"/>
                <w:b w:val="1"/>
                <w:bCs w:val="1"/>
                <w:color w:val="231F20"/>
              </w:rPr>
              <w:t>EXHIBIT INDEX</w:t>
            </w:r>
          </w:p>
        </w:tc>
        <w:tc>
          <w:tcPr>
            <w:tcW w:w="0" w:type="dxa"/>
            <w:vAlign w:val="bottom"/>
          </w:tcPr>
          <w:p>
            <w:pPr>
              <w:spacing w:after="0"/>
              <w:rPr>
                <w:sz w:val="1"/>
                <w:szCs w:val="1"/>
                <w:color w:val="auto"/>
              </w:rPr>
            </w:pPr>
          </w:p>
        </w:tc>
      </w:tr>
      <w:tr>
        <w:trPr>
          <w:trHeight w:val="34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Exhibit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2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231F20"/>
              </w:rPr>
              <w:t>Description of Exhibit</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Number</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00" w:type="dxa"/>
            <w:vAlign w:val="bottom"/>
          </w:tcPr>
          <w:p>
            <w:pPr>
              <w:jc w:val="center"/>
              <w:spacing w:after="0" w:line="153" w:lineRule="exact"/>
              <w:rPr>
                <w:sz w:val="20"/>
                <w:szCs w:val="20"/>
                <w:color w:val="auto"/>
              </w:rPr>
            </w:pPr>
            <w:r>
              <w:rPr>
                <w:rFonts w:ascii="Times New Roman" w:cs="Times New Roman" w:eastAsia="Times New Roman" w:hAnsi="Times New Roman"/>
                <w:sz w:val="12"/>
                <w:szCs w:val="12"/>
                <w:color w:val="231F20"/>
              </w:rPr>
              <w:t>3.1</w:t>
            </w:r>
            <w:r>
              <w:rPr>
                <w:rFonts w:ascii="Times New Roman" w:cs="Times New Roman" w:eastAsia="Times New Roman" w:hAnsi="Times New Roman"/>
                <w:sz w:val="17"/>
                <w:szCs w:val="17"/>
                <w:color w:val="231F20"/>
                <w:vertAlign w:val="superscript"/>
              </w:rPr>
              <w:t>**</w:t>
            </w:r>
          </w:p>
        </w:tc>
        <w:tc>
          <w:tcPr>
            <w:tcW w:w="3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160" w:type="dxa"/>
            <w:vAlign w:val="bottom"/>
            <w:tcBorders>
              <w:bottom w:val="single" w:sz="8" w:color="0000EE"/>
            </w:tcBorders>
            <w:gridSpan w:val="19"/>
          </w:tcPr>
          <w:p>
            <w:pPr>
              <w:spacing w:after="0" w:line="152" w:lineRule="exact"/>
              <w:rPr>
                <w:rFonts w:ascii="Times New Roman" w:cs="Times New Roman" w:eastAsia="Times New Roman" w:hAnsi="Times New Roman"/>
                <w:sz w:val="16"/>
                <w:szCs w:val="16"/>
                <w:color w:val="0000EE"/>
                <w:w w:val="98"/>
              </w:rPr>
            </w:pPr>
            <w:hyperlink r:id="rId328">
              <w:r>
                <w:rPr>
                  <w:rFonts w:ascii="Times New Roman" w:cs="Times New Roman" w:eastAsia="Times New Roman" w:hAnsi="Times New Roman"/>
                  <w:sz w:val="16"/>
                  <w:szCs w:val="16"/>
                  <w:color w:val="0000EE"/>
                  <w:w w:val="98"/>
                </w:rPr>
                <w:t>Articles of Association of Sono Group N.V. (translated into English) (incorporated by reference to Exhibit 3.1 to the Company’s</w:t>
              </w:r>
            </w:hyperlink>
          </w:p>
        </w:tc>
        <w:tc>
          <w:tcPr>
            <w:tcW w:w="4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1"/>
          </w:tcPr>
          <w:p>
            <w:pPr>
              <w:spacing w:after="0" w:line="179" w:lineRule="exact"/>
              <w:rPr>
                <w:rFonts w:ascii="Times New Roman" w:cs="Times New Roman" w:eastAsia="Times New Roman" w:hAnsi="Times New Roman"/>
                <w:sz w:val="16"/>
                <w:szCs w:val="16"/>
                <w:color w:val="0000EE"/>
              </w:rPr>
            </w:pPr>
            <w:hyperlink r:id="rId328">
              <w:r>
                <w:rPr>
                  <w:rFonts w:ascii="Times New Roman" w:cs="Times New Roman" w:eastAsia="Times New Roman" w:hAnsi="Times New Roman"/>
                  <w:sz w:val="16"/>
                  <w:szCs w:val="16"/>
                  <w:color w:val="0000EE"/>
                </w:rPr>
                <w:t>Registration Statement on Form F-1 (File No. 333-260432) filed with the SEC on October 22, 2021)</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39" w:lineRule="exact"/>
              <w:rPr>
                <w:sz w:val="20"/>
                <w:szCs w:val="20"/>
                <w:color w:val="auto"/>
              </w:rPr>
            </w:pPr>
            <w:r>
              <w:rPr>
                <w:rFonts w:ascii="Times New Roman" w:cs="Times New Roman" w:eastAsia="Times New Roman" w:hAnsi="Times New Roman"/>
                <w:sz w:val="16"/>
                <w:szCs w:val="16"/>
                <w:color w:val="231F20"/>
                <w:w w:val="90"/>
              </w:rPr>
              <w:t>3.2</w:t>
            </w:r>
            <w:r>
              <w:rPr>
                <w:rFonts w:ascii="Times New Roman" w:cs="Times New Roman" w:eastAsia="Times New Roman" w:hAnsi="Times New Roman"/>
                <w:sz w:val="23"/>
                <w:szCs w:val="23"/>
                <w:color w:val="231F20"/>
                <w:w w:val="90"/>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620" w:type="dxa"/>
            <w:vAlign w:val="bottom"/>
            <w:gridSpan w:val="31"/>
          </w:tcPr>
          <w:p>
            <w:pPr>
              <w:spacing w:after="0"/>
              <w:rPr>
                <w:rFonts w:ascii="Times New Roman" w:cs="Times New Roman" w:eastAsia="Times New Roman" w:hAnsi="Times New Roman"/>
                <w:sz w:val="16"/>
                <w:szCs w:val="16"/>
                <w:color w:val="0000EE"/>
              </w:rPr>
            </w:pPr>
            <w:hyperlink r:id="rId329">
              <w:r>
                <w:rPr>
                  <w:rFonts w:ascii="Times New Roman" w:cs="Times New Roman" w:eastAsia="Times New Roman" w:hAnsi="Times New Roman"/>
                  <w:sz w:val="16"/>
                  <w:szCs w:val="16"/>
                  <w:color w:val="0000EE"/>
                </w:rPr>
                <w:t>Form of internal rules of the Management Board of Sono Group N.V. (incorporated by reference to Exhibit 3.2 to the Company’s</w:t>
              </w:r>
            </w:hyperlink>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20" w:type="dxa"/>
            <w:vAlign w:val="bottom"/>
            <w:tcBorders>
              <w:top w:val="single" w:sz="8" w:color="0000EE"/>
            </w:tcBorders>
            <w:gridSpan w:val="22"/>
          </w:tcPr>
          <w:p>
            <w:pPr>
              <w:spacing w:after="0" w:line="179" w:lineRule="exact"/>
              <w:rPr>
                <w:rFonts w:ascii="Times New Roman" w:cs="Times New Roman" w:eastAsia="Times New Roman" w:hAnsi="Times New Roman"/>
                <w:sz w:val="16"/>
                <w:szCs w:val="16"/>
                <w:color w:val="0000EE"/>
              </w:rPr>
            </w:pPr>
            <w:hyperlink r:id="rId329">
              <w:r>
                <w:rPr>
                  <w:rFonts w:ascii="Times New Roman" w:cs="Times New Roman" w:eastAsia="Times New Roman" w:hAnsi="Times New Roman"/>
                  <w:sz w:val="16"/>
                  <w:szCs w:val="16"/>
                  <w:color w:val="0000EE"/>
                </w:rPr>
                <w:t>Registration Statement on Form F-1 (File No. 333-260432) filed with the SEC on November 8, 2021)</w:t>
              </w:r>
            </w:hyperlink>
          </w:p>
        </w:tc>
        <w:tc>
          <w:tcPr>
            <w:tcW w:w="4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6"/>
                <w:szCs w:val="16"/>
                <w:color w:val="231F20"/>
                <w:w w:val="90"/>
              </w:rPr>
              <w:t>3.3</w:t>
            </w:r>
            <w:r>
              <w:rPr>
                <w:rFonts w:ascii="Times New Roman" w:cs="Times New Roman" w:eastAsia="Times New Roman" w:hAnsi="Times New Roman"/>
                <w:sz w:val="23"/>
                <w:szCs w:val="23"/>
                <w:color w:val="231F20"/>
                <w:w w:val="90"/>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620" w:type="dxa"/>
            <w:vAlign w:val="bottom"/>
            <w:gridSpan w:val="31"/>
          </w:tcPr>
          <w:p>
            <w:pPr>
              <w:spacing w:after="0"/>
              <w:rPr>
                <w:rFonts w:ascii="Times New Roman" w:cs="Times New Roman" w:eastAsia="Times New Roman" w:hAnsi="Times New Roman"/>
                <w:sz w:val="16"/>
                <w:szCs w:val="16"/>
                <w:color w:val="0000EE"/>
              </w:rPr>
            </w:pPr>
            <w:hyperlink r:id="rId330">
              <w:r>
                <w:rPr>
                  <w:rFonts w:ascii="Times New Roman" w:cs="Times New Roman" w:eastAsia="Times New Roman" w:hAnsi="Times New Roman"/>
                  <w:sz w:val="16"/>
                  <w:szCs w:val="16"/>
                  <w:color w:val="0000EE"/>
                </w:rPr>
                <w:t>Form of internal rules of the Supervisory Board of Sono Group N.V. (incorporated by reference to Exhibit 3.3 to the Company’s</w:t>
              </w:r>
            </w:hyperlink>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160" w:type="dxa"/>
            <w:vAlign w:val="bottom"/>
            <w:tcBorders>
              <w:top w:val="single" w:sz="8" w:color="0000EE"/>
            </w:tcBorders>
            <w:gridSpan w:val="19"/>
          </w:tcPr>
          <w:p>
            <w:pPr>
              <w:spacing w:after="0" w:line="179" w:lineRule="exact"/>
              <w:rPr>
                <w:rFonts w:ascii="Times New Roman" w:cs="Times New Roman" w:eastAsia="Times New Roman" w:hAnsi="Times New Roman"/>
                <w:sz w:val="16"/>
                <w:szCs w:val="16"/>
                <w:color w:val="0000EE"/>
              </w:rPr>
            </w:pPr>
            <w:hyperlink r:id="rId330">
              <w:r>
                <w:rPr>
                  <w:rFonts w:ascii="Times New Roman" w:cs="Times New Roman" w:eastAsia="Times New Roman" w:hAnsi="Times New Roman"/>
                  <w:sz w:val="16"/>
                  <w:szCs w:val="16"/>
                  <w:color w:val="0000EE"/>
                </w:rPr>
                <w:t>Registration Statement on Form F-1 (File No. 333-260432) filed with the SEC on November 8, 2021)</w:t>
              </w:r>
            </w:hyperlink>
          </w:p>
        </w:tc>
        <w:tc>
          <w:tcPr>
            <w:tcW w:w="4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6"/>
                <w:szCs w:val="16"/>
                <w:color w:val="231F20"/>
                <w:w w:val="90"/>
              </w:rPr>
              <w:t>4.1</w:t>
            </w:r>
            <w:r>
              <w:rPr>
                <w:rFonts w:ascii="Times New Roman" w:cs="Times New Roman" w:eastAsia="Times New Roman" w:hAnsi="Times New Roman"/>
                <w:sz w:val="23"/>
                <w:szCs w:val="23"/>
                <w:color w:val="231F20"/>
                <w:w w:val="90"/>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620" w:type="dxa"/>
            <w:vAlign w:val="bottom"/>
            <w:tcBorders>
              <w:bottom w:val="single" w:sz="8" w:color="0000EE"/>
            </w:tcBorders>
            <w:gridSpan w:val="31"/>
          </w:tcPr>
          <w:p>
            <w:pPr>
              <w:spacing w:after="0"/>
              <w:rPr>
                <w:rFonts w:ascii="Times New Roman" w:cs="Times New Roman" w:eastAsia="Times New Roman" w:hAnsi="Times New Roman"/>
                <w:sz w:val="16"/>
                <w:szCs w:val="16"/>
                <w:color w:val="0000EE"/>
                <w:w w:val="99"/>
              </w:rPr>
            </w:pPr>
            <w:hyperlink r:id="rId331">
              <w:r>
                <w:rPr>
                  <w:rFonts w:ascii="Times New Roman" w:cs="Times New Roman" w:eastAsia="Times New Roman" w:hAnsi="Times New Roman"/>
                  <w:sz w:val="16"/>
                  <w:szCs w:val="16"/>
                  <w:color w:val="0000EE"/>
                  <w:w w:val="99"/>
                </w:rPr>
                <w:t>Form of Registration Rights Agreement (incorporated by reference to Exhibit 4.1 to the Company’s Registration Statement on Form F-</w:t>
              </w:r>
            </w:hyperlink>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1"/>
          </w:tcPr>
          <w:p>
            <w:pPr>
              <w:spacing w:after="0" w:line="179" w:lineRule="exact"/>
              <w:rPr>
                <w:rFonts w:ascii="Times New Roman" w:cs="Times New Roman" w:eastAsia="Times New Roman" w:hAnsi="Times New Roman"/>
                <w:sz w:val="16"/>
                <w:szCs w:val="16"/>
                <w:color w:val="0000EE"/>
              </w:rPr>
            </w:pPr>
            <w:hyperlink r:id="rId331">
              <w:r>
                <w:rPr>
                  <w:rFonts w:ascii="Times New Roman" w:cs="Times New Roman" w:eastAsia="Times New Roman" w:hAnsi="Times New Roman"/>
                  <w:sz w:val="16"/>
                  <w:szCs w:val="16"/>
                  <w:color w:val="0000EE"/>
                </w:rPr>
                <w:t>1 (File No. 333-260432) filed with the SEC on November 8, 2021)</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6"/>
                <w:szCs w:val="16"/>
                <w:color w:val="231F20"/>
                <w:w w:val="90"/>
              </w:rPr>
              <w:t>4.2</w:t>
            </w:r>
            <w:r>
              <w:rPr>
                <w:rFonts w:ascii="Times New Roman" w:cs="Times New Roman" w:eastAsia="Times New Roman" w:hAnsi="Times New Roman"/>
                <w:sz w:val="23"/>
                <w:szCs w:val="23"/>
                <w:color w:val="231F20"/>
                <w:w w:val="90"/>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60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w w:val="99"/>
              </w:rPr>
            </w:pPr>
            <w:hyperlink r:id="rId332">
              <w:r>
                <w:rPr>
                  <w:rFonts w:ascii="Times New Roman" w:cs="Times New Roman" w:eastAsia="Times New Roman" w:hAnsi="Times New Roman"/>
                  <w:sz w:val="16"/>
                  <w:szCs w:val="16"/>
                  <w:color w:val="0000EE"/>
                  <w:w w:val="99"/>
                </w:rPr>
                <w:t>Ordinary Shares Purchase Agreement, dated as of June 13, 2022, by and between Sono Group N.V. and Joh. Berenberg, Gossler &amp; Co.</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1"/>
          </w:tcPr>
          <w:p>
            <w:pPr>
              <w:spacing w:after="0" w:line="179" w:lineRule="exact"/>
              <w:rPr>
                <w:rFonts w:ascii="Times New Roman" w:cs="Times New Roman" w:eastAsia="Times New Roman" w:hAnsi="Times New Roman"/>
                <w:sz w:val="16"/>
                <w:szCs w:val="16"/>
                <w:color w:val="0000EE"/>
              </w:rPr>
            </w:pPr>
            <w:hyperlink r:id="rId332">
              <w:r>
                <w:rPr>
                  <w:rFonts w:ascii="Times New Roman" w:cs="Times New Roman" w:eastAsia="Times New Roman" w:hAnsi="Times New Roman"/>
                  <w:sz w:val="16"/>
                  <w:szCs w:val="16"/>
                  <w:color w:val="0000EE"/>
                </w:rPr>
                <w:t>KG (incorporated by reference to Exhibit 10.1 to the Company’s Current Report on Form 6-K filed with the SEC on June 13, 2022)</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6"/>
                <w:szCs w:val="16"/>
                <w:color w:val="231F20"/>
                <w:w w:val="90"/>
              </w:rPr>
              <w:t>4.3</w:t>
            </w:r>
            <w:r>
              <w:rPr>
                <w:rFonts w:ascii="Times New Roman" w:cs="Times New Roman" w:eastAsia="Times New Roman" w:hAnsi="Times New Roman"/>
                <w:sz w:val="23"/>
                <w:szCs w:val="23"/>
                <w:color w:val="231F20"/>
                <w:w w:val="90"/>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620" w:type="dxa"/>
            <w:vAlign w:val="bottom"/>
            <w:gridSpan w:val="31"/>
          </w:tcPr>
          <w:p>
            <w:pPr>
              <w:spacing w:after="0"/>
              <w:rPr>
                <w:rFonts w:ascii="Times New Roman" w:cs="Times New Roman" w:eastAsia="Times New Roman" w:hAnsi="Times New Roman"/>
                <w:sz w:val="16"/>
                <w:szCs w:val="16"/>
                <w:color w:val="0000EE"/>
              </w:rPr>
            </w:pPr>
            <w:hyperlink r:id="rId333">
              <w:r>
                <w:rPr>
                  <w:rFonts w:ascii="Times New Roman" w:cs="Times New Roman" w:eastAsia="Times New Roman" w:hAnsi="Times New Roman"/>
                  <w:sz w:val="16"/>
                  <w:szCs w:val="16"/>
                  <w:color w:val="0000EE"/>
                </w:rPr>
                <w:t>Registration Rights Agreement, dated as of June 13, 2022, by and between Sono Group N.V. and Joh. Berenberg, Gossler &amp; Co. KG</w:t>
              </w:r>
            </w:hyperlink>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120" w:type="dxa"/>
            <w:vAlign w:val="bottom"/>
            <w:tcBorders>
              <w:top w:val="single" w:sz="8" w:color="0000EE"/>
              <w:bottom w:val="single" w:sz="8" w:color="0000EE"/>
            </w:tcBorders>
            <w:gridSpan w:val="18"/>
          </w:tcPr>
          <w:p>
            <w:pPr>
              <w:spacing w:after="0" w:line="179" w:lineRule="exact"/>
              <w:rPr>
                <w:rFonts w:ascii="Times New Roman" w:cs="Times New Roman" w:eastAsia="Times New Roman" w:hAnsi="Times New Roman"/>
                <w:sz w:val="16"/>
                <w:szCs w:val="16"/>
                <w:color w:val="0000EE"/>
                <w:w w:val="98"/>
              </w:rPr>
            </w:pPr>
            <w:hyperlink r:id="rId333">
              <w:r>
                <w:rPr>
                  <w:rFonts w:ascii="Times New Roman" w:cs="Times New Roman" w:eastAsia="Times New Roman" w:hAnsi="Times New Roman"/>
                  <w:sz w:val="16"/>
                  <w:szCs w:val="16"/>
                  <w:color w:val="0000EE"/>
                  <w:w w:val="98"/>
                </w:rPr>
                <w:t>(incorporated by reference to Exhibit 10.2 to the Company’s Current Report on Form 6-K filed with the SEC on June 13, 2022)</w:t>
              </w:r>
            </w:hyperlink>
          </w:p>
        </w:tc>
        <w:tc>
          <w:tcPr>
            <w:tcW w:w="320" w:type="dxa"/>
            <w:vAlign w:val="bottom"/>
            <w:tcBorders>
              <w:top w:val="single" w:sz="8" w:color="0000EE"/>
            </w:tcBorders>
            <w:gridSpan w:val="8"/>
          </w:tcPr>
          <w:p>
            <w:pPr>
              <w:spacing w:after="0"/>
              <w:rPr>
                <w:sz w:val="15"/>
                <w:szCs w:val="15"/>
                <w:color w:val="auto"/>
              </w:rPr>
            </w:pPr>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0"/>
              </w:rPr>
              <w:t>5.1</w:t>
            </w:r>
            <w:r>
              <w:rPr>
                <w:rFonts w:ascii="Times New Roman" w:cs="Times New Roman" w:eastAsia="Times New Roman" w:hAnsi="Times New Roman"/>
                <w:sz w:val="23"/>
                <w:szCs w:val="23"/>
                <w:color w:val="231F20"/>
                <w:w w:val="90"/>
                <w:vertAlign w:val="superscript"/>
              </w:rPr>
              <w:t>**</w:t>
            </w:r>
          </w:p>
        </w:tc>
        <w:tc>
          <w:tcPr>
            <w:tcW w:w="300" w:type="dxa"/>
            <w:vAlign w:val="bottom"/>
          </w:tcPr>
          <w:p>
            <w:pPr>
              <w:spacing w:after="0"/>
              <w:rPr>
                <w:sz w:val="20"/>
                <w:szCs w:val="20"/>
                <w:color w:val="auto"/>
              </w:rPr>
            </w:pPr>
          </w:p>
        </w:tc>
        <w:tc>
          <w:tcPr>
            <w:tcW w:w="8620" w:type="dxa"/>
            <w:vAlign w:val="bottom"/>
            <w:gridSpan w:val="31"/>
          </w:tcPr>
          <w:p>
            <w:pPr>
              <w:spacing w:after="0"/>
              <w:rPr>
                <w:rFonts w:ascii="Times New Roman" w:cs="Times New Roman" w:eastAsia="Times New Roman" w:hAnsi="Times New Roman"/>
                <w:sz w:val="16"/>
                <w:szCs w:val="16"/>
                <w:color w:val="0000EE"/>
              </w:rPr>
            </w:pPr>
            <w:hyperlink r:id="rId334">
              <w:r>
                <w:rPr>
                  <w:rFonts w:ascii="Times New Roman" w:cs="Times New Roman" w:eastAsia="Times New Roman" w:hAnsi="Times New Roman"/>
                  <w:sz w:val="16"/>
                  <w:szCs w:val="16"/>
                  <w:color w:val="0000EE"/>
                </w:rPr>
                <w:t>Opinion of NautaDutilh N.V., Dutch counsel of Sono Motors, as to the validity of the ordinary shares</w:t>
              </w:r>
            </w:hyperlink>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3"/>
              </w:rPr>
              <w:t>8.1</w:t>
            </w:r>
            <w:r>
              <w:rPr>
                <w:rFonts w:ascii="Times New Roman" w:cs="Times New Roman" w:eastAsia="Times New Roman" w:hAnsi="Times New Roman"/>
                <w:sz w:val="23"/>
                <w:szCs w:val="23"/>
                <w:color w:val="231F20"/>
                <w:w w:val="93"/>
                <w:vertAlign w:val="superscript"/>
              </w:rPr>
              <w:t>*</w:t>
            </w:r>
          </w:p>
        </w:tc>
        <w:tc>
          <w:tcPr>
            <w:tcW w:w="300" w:type="dxa"/>
            <w:vAlign w:val="bottom"/>
          </w:tcPr>
          <w:p>
            <w:pPr>
              <w:spacing w:after="0"/>
              <w:rPr>
                <w:sz w:val="20"/>
                <w:szCs w:val="20"/>
                <w:color w:val="auto"/>
              </w:rPr>
            </w:pPr>
          </w:p>
        </w:tc>
        <w:tc>
          <w:tcPr>
            <w:tcW w:w="54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w w:val="98"/>
              </w:rPr>
              <w:t>Opinion of NautaDutilh N.V., Dutch counsel of Sono Motors, as to Dutch tax matters</w:t>
            </w:r>
          </w:p>
        </w:tc>
        <w:tc>
          <w:tcPr>
            <w:tcW w:w="1040" w:type="dxa"/>
            <w:vAlign w:val="bottom"/>
            <w:tcBorders>
              <w:top w:val="single" w:sz="8" w:color="0000EE"/>
            </w:tcBorders>
            <w:gridSpan w:val="3"/>
          </w:tcPr>
          <w:p>
            <w:pPr>
              <w:spacing w:after="0"/>
              <w:rPr>
                <w:sz w:val="20"/>
                <w:szCs w:val="20"/>
                <w:color w:val="auto"/>
              </w:rPr>
            </w:pPr>
          </w:p>
        </w:tc>
        <w:tc>
          <w:tcPr>
            <w:tcW w:w="214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3"/>
              </w:rPr>
              <w:t>8.2</w:t>
            </w:r>
            <w:r>
              <w:rPr>
                <w:rFonts w:ascii="Times New Roman" w:cs="Times New Roman" w:eastAsia="Times New Roman" w:hAnsi="Times New Roman"/>
                <w:sz w:val="23"/>
                <w:szCs w:val="23"/>
                <w:color w:val="231F20"/>
                <w:w w:val="93"/>
                <w:vertAlign w:val="superscript"/>
              </w:rPr>
              <w:t>*</w:t>
            </w:r>
          </w:p>
        </w:tc>
        <w:tc>
          <w:tcPr>
            <w:tcW w:w="300" w:type="dxa"/>
            <w:vAlign w:val="bottom"/>
          </w:tcPr>
          <w:p>
            <w:pPr>
              <w:spacing w:after="0"/>
              <w:rPr>
                <w:sz w:val="20"/>
                <w:szCs w:val="20"/>
                <w:color w:val="auto"/>
              </w:rPr>
            </w:pPr>
          </w:p>
        </w:tc>
        <w:tc>
          <w:tcPr>
            <w:tcW w:w="38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9"/>
              </w:rPr>
              <w:t>Opinion of Sullivan &amp; Cromwell LLP as to U.S. tax matters</w:t>
            </w:r>
          </w:p>
        </w:tc>
        <w:tc>
          <w:tcPr>
            <w:tcW w:w="478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3"/>
              </w:rPr>
              <w:t>8.3</w:t>
            </w:r>
            <w:r>
              <w:rPr>
                <w:rFonts w:ascii="Times New Roman" w:cs="Times New Roman" w:eastAsia="Times New Roman" w:hAnsi="Times New Roman"/>
                <w:sz w:val="23"/>
                <w:szCs w:val="23"/>
                <w:color w:val="231F20"/>
                <w:w w:val="93"/>
                <w:vertAlign w:val="superscript"/>
              </w:rPr>
              <w:t>*</w:t>
            </w:r>
          </w:p>
        </w:tc>
        <w:tc>
          <w:tcPr>
            <w:tcW w:w="300" w:type="dxa"/>
            <w:vAlign w:val="bottom"/>
          </w:tcPr>
          <w:p>
            <w:pPr>
              <w:spacing w:after="0"/>
              <w:rPr>
                <w:sz w:val="20"/>
                <w:szCs w:val="20"/>
                <w:color w:val="auto"/>
              </w:rPr>
            </w:pPr>
          </w:p>
        </w:tc>
        <w:tc>
          <w:tcPr>
            <w:tcW w:w="8620" w:type="dxa"/>
            <w:vAlign w:val="bottom"/>
            <w:gridSpan w:val="31"/>
          </w:tcPr>
          <w:p>
            <w:pPr>
              <w:spacing w:after="0"/>
              <w:rPr>
                <w:sz w:val="20"/>
                <w:szCs w:val="20"/>
                <w:color w:val="auto"/>
              </w:rPr>
            </w:pPr>
            <w:r>
              <w:rPr>
                <w:rFonts w:ascii="Times New Roman" w:cs="Times New Roman" w:eastAsia="Times New Roman" w:hAnsi="Times New Roman"/>
                <w:sz w:val="16"/>
                <w:szCs w:val="16"/>
                <w:color w:val="0000EE"/>
              </w:rPr>
              <w:t>Opinion of Ebner Stolz Mönning Bachem Wirtschaftsprüfer Steuerberater Rechtsanwälte Partnerschaft mbB as to German tax matters</w:t>
            </w: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2"/>
              </w:rPr>
              <w:t>10.1</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rPr>
                <w:sz w:val="20"/>
                <w:szCs w:val="20"/>
                <w:color w:val="auto"/>
              </w:rPr>
            </w:pPr>
          </w:p>
        </w:tc>
        <w:tc>
          <w:tcPr>
            <w:tcW w:w="8540" w:type="dxa"/>
            <w:vAlign w:val="bottom"/>
            <w:tcBorders>
              <w:top w:val="single" w:sz="8" w:color="0000EE"/>
            </w:tcBorders>
            <w:gridSpan w:val="28"/>
          </w:tcPr>
          <w:p>
            <w:pPr>
              <w:spacing w:after="0"/>
              <w:rPr>
                <w:rFonts w:ascii="Times New Roman" w:cs="Times New Roman" w:eastAsia="Times New Roman" w:hAnsi="Times New Roman"/>
                <w:sz w:val="16"/>
                <w:szCs w:val="16"/>
                <w:color w:val="0000EE"/>
              </w:rPr>
            </w:pPr>
            <w:hyperlink r:id="rId335">
              <w:r>
                <w:rPr>
                  <w:rFonts w:ascii="Times New Roman" w:cs="Times New Roman" w:eastAsia="Times New Roman" w:hAnsi="Times New Roman"/>
                  <w:sz w:val="16"/>
                  <w:szCs w:val="16"/>
                  <w:color w:val="0000EE"/>
                </w:rPr>
                <w:t>Form of Long-Term Incentive Plan of Sono Group N.V. (incorporated herein by reference to Exhibit 10.1 of the Company’s</w:t>
              </w:r>
            </w:hyperlink>
          </w:p>
        </w:tc>
        <w:tc>
          <w:tcPr>
            <w:tcW w:w="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520" w:type="dxa"/>
            <w:vAlign w:val="bottom"/>
            <w:tcBorders>
              <w:top w:val="single" w:sz="8" w:color="0000EE"/>
              <w:bottom w:val="single" w:sz="8" w:color="0000EE"/>
            </w:tcBorders>
            <w:gridSpan w:val="14"/>
          </w:tcPr>
          <w:p>
            <w:pPr>
              <w:spacing w:after="0" w:line="179" w:lineRule="exact"/>
              <w:rPr>
                <w:rFonts w:ascii="Times New Roman" w:cs="Times New Roman" w:eastAsia="Times New Roman" w:hAnsi="Times New Roman"/>
                <w:sz w:val="16"/>
                <w:szCs w:val="16"/>
                <w:color w:val="0000EE"/>
                <w:w w:val="99"/>
              </w:rPr>
            </w:pPr>
            <w:hyperlink r:id="rId335">
              <w:r>
                <w:rPr>
                  <w:rFonts w:ascii="Times New Roman" w:cs="Times New Roman" w:eastAsia="Times New Roman" w:hAnsi="Times New Roman"/>
                  <w:sz w:val="16"/>
                  <w:szCs w:val="16"/>
                  <w:color w:val="0000EE"/>
                  <w:w w:val="99"/>
                </w:rPr>
                <w:t>Registration Statement on Form F-1 (File No. 333-260432) filed on October 22, 2021)</w:t>
              </w:r>
            </w:hyperlink>
          </w:p>
        </w:tc>
        <w:tc>
          <w:tcPr>
            <w:tcW w:w="2360" w:type="dxa"/>
            <w:vAlign w:val="bottom"/>
            <w:tcBorders>
              <w:top w:val="single" w:sz="8" w:color="0000EE"/>
            </w:tcBorders>
            <w:gridSpan w:val="3"/>
          </w:tcPr>
          <w:p>
            <w:pPr>
              <w:spacing w:after="0"/>
              <w:rPr>
                <w:sz w:val="15"/>
                <w:szCs w:val="15"/>
                <w:color w:val="auto"/>
              </w:rPr>
            </w:pPr>
          </w:p>
        </w:tc>
        <w:tc>
          <w:tcPr>
            <w:tcW w:w="7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2"/>
              </w:rPr>
              <w:t>10.2</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rPr>
                <w:sz w:val="20"/>
                <w:szCs w:val="20"/>
                <w:color w:val="auto"/>
              </w:rPr>
            </w:pPr>
          </w:p>
        </w:tc>
        <w:tc>
          <w:tcPr>
            <w:tcW w:w="860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w w:val="99"/>
              </w:rPr>
            </w:pPr>
            <w:hyperlink r:id="rId336">
              <w:r>
                <w:rPr>
                  <w:rFonts w:ascii="Times New Roman" w:cs="Times New Roman" w:eastAsia="Times New Roman" w:hAnsi="Times New Roman"/>
                  <w:sz w:val="16"/>
                  <w:szCs w:val="16"/>
                  <w:color w:val="0000EE"/>
                  <w:w w:val="99"/>
                </w:rPr>
                <w:t>Conversion Stock Option Program 2020 (incorporated herein by reference to Exhibit 10.2 of the Company’s Registration Statement on</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1"/>
          </w:tcPr>
          <w:p>
            <w:pPr>
              <w:spacing w:after="0" w:line="179" w:lineRule="exact"/>
              <w:rPr>
                <w:rFonts w:ascii="Times New Roman" w:cs="Times New Roman" w:eastAsia="Times New Roman" w:hAnsi="Times New Roman"/>
                <w:sz w:val="16"/>
                <w:szCs w:val="16"/>
                <w:color w:val="0000EE"/>
              </w:rPr>
            </w:pPr>
            <w:hyperlink r:id="rId336">
              <w:r>
                <w:rPr>
                  <w:rFonts w:ascii="Times New Roman" w:cs="Times New Roman" w:eastAsia="Times New Roman" w:hAnsi="Times New Roman"/>
                  <w:sz w:val="16"/>
                  <w:szCs w:val="16"/>
                  <w:color w:val="0000EE"/>
                </w:rPr>
                <w:t>Form F-1 (File No. 333-260432) filed on October 22, 2021)</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6"/>
                <w:szCs w:val="16"/>
                <w:color w:val="231F20"/>
                <w:w w:val="92"/>
              </w:rPr>
              <w:t>10.3</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620" w:type="dxa"/>
            <w:vAlign w:val="bottom"/>
            <w:gridSpan w:val="31"/>
          </w:tcPr>
          <w:p>
            <w:pPr>
              <w:spacing w:after="0"/>
              <w:rPr>
                <w:rFonts w:ascii="Times New Roman" w:cs="Times New Roman" w:eastAsia="Times New Roman" w:hAnsi="Times New Roman"/>
                <w:sz w:val="16"/>
                <w:szCs w:val="16"/>
                <w:color w:val="0000EE"/>
              </w:rPr>
            </w:pPr>
            <w:hyperlink r:id="rId337">
              <w:r>
                <w:rPr>
                  <w:rFonts w:ascii="Times New Roman" w:cs="Times New Roman" w:eastAsia="Times New Roman" w:hAnsi="Times New Roman"/>
                  <w:sz w:val="16"/>
                  <w:szCs w:val="16"/>
                  <w:color w:val="0000EE"/>
                </w:rPr>
                <w:t>Form of Indemnification Agreement between Sono Group N.V. and members of the management board (incorporated herein by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1"/>
          </w:tcPr>
          <w:p>
            <w:pPr>
              <w:spacing w:after="0" w:line="179" w:lineRule="exact"/>
              <w:rPr>
                <w:rFonts w:ascii="Times New Roman" w:cs="Times New Roman" w:eastAsia="Times New Roman" w:hAnsi="Times New Roman"/>
                <w:sz w:val="16"/>
                <w:szCs w:val="16"/>
                <w:color w:val="0000EE"/>
              </w:rPr>
            </w:pPr>
            <w:hyperlink r:id="rId337">
              <w:r>
                <w:rPr>
                  <w:rFonts w:ascii="Times New Roman" w:cs="Times New Roman" w:eastAsia="Times New Roman" w:hAnsi="Times New Roman"/>
                  <w:sz w:val="16"/>
                  <w:szCs w:val="16"/>
                  <w:color w:val="0000EE"/>
                </w:rPr>
                <w:t>reference to Exhibit 10.3 of the Company’s Registration Statement on Form F-1 (File No. 333-260432) filed on October 22, 2021)</w:t>
              </w:r>
            </w:hyperlink>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2"/>
              </w:rPr>
              <w:t>10.4</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rPr>
                <w:sz w:val="20"/>
                <w:szCs w:val="20"/>
                <w:color w:val="auto"/>
              </w:rPr>
            </w:pPr>
          </w:p>
        </w:tc>
        <w:tc>
          <w:tcPr>
            <w:tcW w:w="812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6"/>
                <w:szCs w:val="16"/>
                <w:color w:val="0000EE"/>
                <w:w w:val="99"/>
              </w:rPr>
            </w:pPr>
            <w:hyperlink r:id="rId338">
              <w:r>
                <w:rPr>
                  <w:rFonts w:ascii="Times New Roman" w:cs="Times New Roman" w:eastAsia="Times New Roman" w:hAnsi="Times New Roman"/>
                  <w:sz w:val="16"/>
                  <w:szCs w:val="16"/>
                  <w:color w:val="0000EE"/>
                  <w:w w:val="99"/>
                </w:rPr>
                <w:t>Form of Indemnification Agreement between Sono Group N.V. and members of the supervisory board (incorporated herein by</w:t>
              </w:r>
            </w:hyperlink>
          </w:p>
        </w:tc>
        <w:tc>
          <w:tcPr>
            <w:tcW w:w="180" w:type="dxa"/>
            <w:vAlign w:val="bottom"/>
            <w:tcBorders>
              <w:top w:val="single" w:sz="8" w:color="0000EE"/>
            </w:tcBorders>
            <w:gridSpan w:val="5"/>
          </w:tcPr>
          <w:p>
            <w:pPr>
              <w:spacing w:after="0"/>
              <w:rPr>
                <w:sz w:val="20"/>
                <w:szCs w:val="20"/>
                <w:color w:val="auto"/>
              </w:rPr>
            </w:pPr>
          </w:p>
        </w:tc>
        <w:tc>
          <w:tcPr>
            <w:tcW w:w="32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1"/>
          </w:tcPr>
          <w:p>
            <w:pPr>
              <w:spacing w:after="0" w:line="179" w:lineRule="exact"/>
              <w:rPr>
                <w:rFonts w:ascii="Times New Roman" w:cs="Times New Roman" w:eastAsia="Times New Roman" w:hAnsi="Times New Roman"/>
                <w:sz w:val="16"/>
                <w:szCs w:val="16"/>
                <w:color w:val="0000EE"/>
              </w:rPr>
            </w:pPr>
            <w:hyperlink r:id="rId338">
              <w:r>
                <w:rPr>
                  <w:rFonts w:ascii="Times New Roman" w:cs="Times New Roman" w:eastAsia="Times New Roman" w:hAnsi="Times New Roman"/>
                  <w:sz w:val="16"/>
                  <w:szCs w:val="16"/>
                  <w:color w:val="0000EE"/>
                </w:rPr>
                <w:t>reference to Exhibit 10.4 of the Company’s Registration Statement on Form F-1 (File No. 333-260432) filed on October 22, 2021)</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6"/>
                <w:szCs w:val="16"/>
                <w:color w:val="231F20"/>
                <w:w w:val="92"/>
              </w:rPr>
              <w:t>10.5</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8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38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w w:val="98"/>
              </w:rPr>
            </w:pPr>
            <w:hyperlink r:id="rId339">
              <w:r>
                <w:rPr>
                  <w:rFonts w:ascii="Times New Roman" w:cs="Times New Roman" w:eastAsia="Times New Roman" w:hAnsi="Times New Roman"/>
                  <w:sz w:val="16"/>
                  <w:szCs w:val="16"/>
                  <w:color w:val="0000EE"/>
                  <w:w w:val="98"/>
                </w:rPr>
                <w:t>Contract Manufacturing Phase 1 Agreement: Binding Term Sheet between Sono Motors GmbH and Valmet Automotive Inc., dated</w:t>
              </w:r>
            </w:hyperlink>
          </w:p>
        </w:tc>
        <w:tc>
          <w:tcPr>
            <w:tcW w:w="2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1"/>
          </w:tcPr>
          <w:p>
            <w:pPr>
              <w:spacing w:after="0" w:line="179" w:lineRule="exact"/>
              <w:rPr>
                <w:rFonts w:ascii="Times New Roman" w:cs="Times New Roman" w:eastAsia="Times New Roman" w:hAnsi="Times New Roman"/>
                <w:sz w:val="16"/>
                <w:szCs w:val="16"/>
                <w:color w:val="0000EE"/>
              </w:rPr>
            </w:pPr>
            <w:hyperlink r:id="rId339">
              <w:r>
                <w:rPr>
                  <w:rFonts w:ascii="Times New Roman" w:cs="Times New Roman" w:eastAsia="Times New Roman" w:hAnsi="Times New Roman"/>
                  <w:sz w:val="16"/>
                  <w:szCs w:val="16"/>
                  <w:color w:val="0000EE"/>
                </w:rPr>
                <w:t>April 4, 2022 (incorporated herein by reference to Exhibit 4.1 of the Company’s Annual Report on Form 20-F for the year ended</w:t>
              </w:r>
            </w:hyperlink>
          </w:p>
        </w:tc>
        <w:tc>
          <w:tcPr>
            <w:tcW w:w="0" w:type="dxa"/>
            <w:vAlign w:val="bottom"/>
          </w:tcPr>
          <w:p>
            <w:pPr>
              <w:spacing w:after="0"/>
              <w:rPr>
                <w:sz w:val="1"/>
                <w:szCs w:val="1"/>
                <w:color w:val="auto"/>
              </w:rPr>
            </w:pPr>
          </w:p>
        </w:tc>
      </w:tr>
      <w:tr>
        <w:trPr>
          <w:trHeight w:val="179"/>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F20"/>
                <w:w w:val="92"/>
              </w:rPr>
              <w:t>14.1</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rPr>
                <w:sz w:val="15"/>
                <w:szCs w:val="15"/>
                <w:color w:val="auto"/>
              </w:rPr>
            </w:pPr>
          </w:p>
        </w:tc>
        <w:tc>
          <w:tcPr>
            <w:tcW w:w="4380" w:type="dxa"/>
            <w:vAlign w:val="bottom"/>
            <w:tcBorders>
              <w:top w:val="single" w:sz="8" w:color="0000EE"/>
              <w:bottom w:val="single" w:sz="8" w:color="0000EE"/>
            </w:tcBorders>
            <w:gridSpan w:val="10"/>
          </w:tcPr>
          <w:p>
            <w:pPr>
              <w:spacing w:after="0" w:line="179" w:lineRule="exact"/>
              <w:rPr>
                <w:rFonts w:ascii="Times New Roman" w:cs="Times New Roman" w:eastAsia="Times New Roman" w:hAnsi="Times New Roman"/>
                <w:sz w:val="16"/>
                <w:szCs w:val="16"/>
                <w:color w:val="0000EE"/>
                <w:w w:val="99"/>
              </w:rPr>
            </w:pPr>
            <w:hyperlink r:id="rId339">
              <w:r>
                <w:rPr>
                  <w:rFonts w:ascii="Times New Roman" w:cs="Times New Roman" w:eastAsia="Times New Roman" w:hAnsi="Times New Roman"/>
                  <w:sz w:val="16"/>
                  <w:szCs w:val="16"/>
                  <w:color w:val="0000EE"/>
                  <w:w w:val="99"/>
                </w:rPr>
                <w:t>December 31, 2021 (File No. 333-260432) filed on April 19, 2022)†</w:t>
              </w:r>
            </w:hyperlink>
          </w:p>
        </w:tc>
        <w:tc>
          <w:tcPr>
            <w:tcW w:w="3820" w:type="dxa"/>
            <w:vAlign w:val="bottom"/>
            <w:tcBorders>
              <w:top w:val="single" w:sz="8" w:color="0000EE"/>
            </w:tcBorders>
            <w:gridSpan w:val="11"/>
          </w:tcPr>
          <w:p>
            <w:pPr>
              <w:spacing w:after="0"/>
              <w:rPr>
                <w:sz w:val="15"/>
                <w:szCs w:val="15"/>
                <w:color w:val="auto"/>
              </w:rPr>
            </w:pPr>
          </w:p>
        </w:tc>
        <w:tc>
          <w:tcPr>
            <w:tcW w:w="4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1"/>
          </w:tcPr>
          <w:p>
            <w:pPr>
              <w:spacing w:after="0" w:line="179" w:lineRule="exact"/>
              <w:rPr>
                <w:rFonts w:ascii="Times New Roman" w:cs="Times New Roman" w:eastAsia="Times New Roman" w:hAnsi="Times New Roman"/>
                <w:sz w:val="16"/>
                <w:szCs w:val="16"/>
                <w:color w:val="0000EE"/>
              </w:rPr>
            </w:pPr>
            <w:hyperlink r:id="rId340">
              <w:r>
                <w:rPr>
                  <w:rFonts w:ascii="Times New Roman" w:cs="Times New Roman" w:eastAsia="Times New Roman" w:hAnsi="Times New Roman"/>
                  <w:sz w:val="16"/>
                  <w:szCs w:val="16"/>
                  <w:color w:val="0000EE"/>
                </w:rPr>
                <w:t>Code of Business Conduct and Ethics (incorporated herein by reference to Exhibit 14.1 of the Company’s Registration Statement on</w:t>
              </w:r>
            </w:hyperlink>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20" w:type="dxa"/>
            <w:vAlign w:val="bottom"/>
            <w:tcBorders>
              <w:top w:val="single" w:sz="8" w:color="0000EE"/>
            </w:tcBorders>
            <w:gridSpan w:val="25"/>
          </w:tcPr>
          <w:p>
            <w:pPr>
              <w:spacing w:after="0" w:line="179" w:lineRule="exact"/>
              <w:rPr>
                <w:rFonts w:ascii="Times New Roman" w:cs="Times New Roman" w:eastAsia="Times New Roman" w:hAnsi="Times New Roman"/>
                <w:sz w:val="16"/>
                <w:szCs w:val="16"/>
                <w:color w:val="0000EE"/>
              </w:rPr>
            </w:pPr>
            <w:hyperlink r:id="rId340">
              <w:r>
                <w:rPr>
                  <w:rFonts w:ascii="Times New Roman" w:cs="Times New Roman" w:eastAsia="Times New Roman" w:hAnsi="Times New Roman"/>
                  <w:sz w:val="16"/>
                  <w:szCs w:val="16"/>
                  <w:color w:val="0000EE"/>
                </w:rPr>
                <w:t>Form F-1/A (File No. 333-260432) filed on November 8, 2021)</w:t>
              </w:r>
            </w:hyperlink>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6"/>
                <w:szCs w:val="16"/>
                <w:color w:val="231F20"/>
                <w:w w:val="92"/>
              </w:rPr>
              <w:t>21.1</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620" w:type="dxa"/>
            <w:vAlign w:val="bottom"/>
            <w:gridSpan w:val="31"/>
          </w:tcPr>
          <w:p>
            <w:pPr>
              <w:spacing w:after="0"/>
              <w:rPr>
                <w:rFonts w:ascii="Times New Roman" w:cs="Times New Roman" w:eastAsia="Times New Roman" w:hAnsi="Times New Roman"/>
                <w:sz w:val="16"/>
                <w:szCs w:val="16"/>
                <w:color w:val="0000EE"/>
                <w:w w:val="99"/>
              </w:rPr>
            </w:pPr>
            <w:hyperlink r:id="rId341">
              <w:r>
                <w:rPr>
                  <w:rFonts w:ascii="Times New Roman" w:cs="Times New Roman" w:eastAsia="Times New Roman" w:hAnsi="Times New Roman"/>
                  <w:sz w:val="16"/>
                  <w:szCs w:val="16"/>
                  <w:color w:val="0000EE"/>
                  <w:w w:val="99"/>
                </w:rPr>
                <w:t>List of Significant Subsidiaries (incorporated herein by reference to Exhibit 21.1 of the Company’s Registration Statement on Form F-</w:t>
              </w:r>
            </w:hyperlink>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4"/>
          </w:tcPr>
          <w:p>
            <w:pPr>
              <w:spacing w:after="0" w:line="179" w:lineRule="exact"/>
              <w:rPr>
                <w:rFonts w:ascii="Times New Roman" w:cs="Times New Roman" w:eastAsia="Times New Roman" w:hAnsi="Times New Roman"/>
                <w:sz w:val="16"/>
                <w:szCs w:val="16"/>
                <w:color w:val="0000EE"/>
                <w:w w:val="99"/>
              </w:rPr>
            </w:pPr>
            <w:hyperlink r:id="rId341">
              <w:r>
                <w:rPr>
                  <w:rFonts w:ascii="Times New Roman" w:cs="Times New Roman" w:eastAsia="Times New Roman" w:hAnsi="Times New Roman"/>
                  <w:sz w:val="16"/>
                  <w:szCs w:val="16"/>
                  <w:color w:val="0000EE"/>
                  <w:w w:val="99"/>
                </w:rPr>
                <w:t>1 (File No. 333-260432) filed on October 22, 2021)</w:t>
              </w:r>
            </w:hyperlink>
          </w:p>
        </w:tc>
        <w:tc>
          <w:tcPr>
            <w:tcW w:w="5260" w:type="dxa"/>
            <w:vAlign w:val="bottom"/>
            <w:tcBorders>
              <w:top w:val="single" w:sz="8" w:color="0000EE"/>
            </w:tcBorders>
            <w:gridSpan w:val="25"/>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5"/>
              </w:rPr>
              <w:t>23.1</w:t>
            </w:r>
            <w:r>
              <w:rPr>
                <w:rFonts w:ascii="Times New Roman" w:cs="Times New Roman" w:eastAsia="Times New Roman" w:hAnsi="Times New Roman"/>
                <w:sz w:val="23"/>
                <w:szCs w:val="23"/>
                <w:color w:val="231F20"/>
                <w:w w:val="95"/>
                <w:vertAlign w:val="superscript"/>
              </w:rPr>
              <w:t>*</w:t>
            </w:r>
          </w:p>
        </w:tc>
        <w:tc>
          <w:tcPr>
            <w:tcW w:w="300" w:type="dxa"/>
            <w:vAlign w:val="bottom"/>
          </w:tcPr>
          <w:p>
            <w:pPr>
              <w:spacing w:after="0"/>
              <w:rPr>
                <w:sz w:val="20"/>
                <w:szCs w:val="20"/>
                <w:color w:val="auto"/>
              </w:rPr>
            </w:pPr>
          </w:p>
        </w:tc>
        <w:tc>
          <w:tcPr>
            <w:tcW w:w="8620" w:type="dxa"/>
            <w:vAlign w:val="bottom"/>
            <w:gridSpan w:val="31"/>
          </w:tcPr>
          <w:p>
            <w:pPr>
              <w:spacing w:after="0"/>
              <w:rPr>
                <w:sz w:val="20"/>
                <w:szCs w:val="20"/>
                <w:color w:val="auto"/>
              </w:rPr>
            </w:pPr>
            <w:r>
              <w:rPr>
                <w:rFonts w:ascii="Times New Roman" w:cs="Times New Roman" w:eastAsia="Times New Roman" w:hAnsi="Times New Roman"/>
                <w:sz w:val="16"/>
                <w:szCs w:val="16"/>
                <w:color w:val="0000EE"/>
              </w:rPr>
              <w:t>Consent of PricewaterhouseCoopers GmbH Wirtschaftsprüfungsgesellschaft</w:t>
            </w: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2"/>
              </w:rPr>
              <w:t>23.2</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rPr>
                <w:sz w:val="20"/>
                <w:szCs w:val="20"/>
                <w:color w:val="auto"/>
              </w:rPr>
            </w:pPr>
          </w:p>
        </w:tc>
        <w:tc>
          <w:tcPr>
            <w:tcW w:w="5120" w:type="dxa"/>
            <w:vAlign w:val="bottom"/>
            <w:tcBorders>
              <w:top w:val="single" w:sz="8" w:color="0000EE"/>
            </w:tcBorders>
            <w:gridSpan w:val="12"/>
          </w:tcPr>
          <w:p>
            <w:pPr>
              <w:spacing w:after="0"/>
              <w:rPr>
                <w:rFonts w:ascii="Times New Roman" w:cs="Times New Roman" w:eastAsia="Times New Roman" w:hAnsi="Times New Roman"/>
                <w:sz w:val="16"/>
                <w:szCs w:val="16"/>
                <w:color w:val="0000EE"/>
              </w:rPr>
            </w:pPr>
            <w:hyperlink r:id="rId342">
              <w:r>
                <w:rPr>
                  <w:rFonts w:ascii="Times New Roman" w:cs="Times New Roman" w:eastAsia="Times New Roman" w:hAnsi="Times New Roman"/>
                  <w:sz w:val="16"/>
                  <w:szCs w:val="16"/>
                  <w:color w:val="0000EE"/>
                </w:rPr>
                <w:t>Consent of NautaDutilh N.V. (included in Exhibit 8.1)</w:t>
              </w:r>
            </w:hyperlink>
          </w:p>
        </w:tc>
        <w:tc>
          <w:tcPr>
            <w:tcW w:w="350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6"/>
                <w:szCs w:val="16"/>
                <w:color w:val="231F20"/>
                <w:w w:val="92"/>
              </w:rPr>
              <w:t>23.3</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406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9"/>
              </w:rPr>
            </w:pPr>
            <w:hyperlink r:id="rId343">
              <w:r>
                <w:rPr>
                  <w:rFonts w:ascii="Times New Roman" w:cs="Times New Roman" w:eastAsia="Times New Roman" w:hAnsi="Times New Roman"/>
                  <w:sz w:val="16"/>
                  <w:szCs w:val="16"/>
                  <w:color w:val="0000EE"/>
                  <w:w w:val="99"/>
                </w:rPr>
                <w:t>Consent of Sullivan &amp; Cromwell LLP (included in Exhibit 8.2)</w:t>
              </w:r>
            </w:hyperlink>
          </w:p>
        </w:tc>
        <w:tc>
          <w:tcPr>
            <w:tcW w:w="456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2"/>
              </w:rPr>
              <w:t>23.4</w:t>
            </w:r>
            <w:r>
              <w:rPr>
                <w:rFonts w:ascii="Times New Roman" w:cs="Times New Roman" w:eastAsia="Times New Roman" w:hAnsi="Times New Roman"/>
                <w:sz w:val="23"/>
                <w:szCs w:val="23"/>
                <w:color w:val="231F20"/>
                <w:w w:val="92"/>
                <w:vertAlign w:val="superscript"/>
              </w:rPr>
              <w:t>**</w:t>
            </w:r>
          </w:p>
        </w:tc>
        <w:tc>
          <w:tcPr>
            <w:tcW w:w="300" w:type="dxa"/>
            <w:vAlign w:val="bottom"/>
          </w:tcPr>
          <w:p>
            <w:pPr>
              <w:spacing w:after="0"/>
              <w:rPr>
                <w:sz w:val="20"/>
                <w:szCs w:val="20"/>
                <w:color w:val="auto"/>
              </w:rPr>
            </w:pPr>
          </w:p>
        </w:tc>
        <w:tc>
          <w:tcPr>
            <w:tcW w:w="852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w w:val="99"/>
              </w:rPr>
            </w:pPr>
            <w:hyperlink r:id="rId344">
              <w:r>
                <w:rPr>
                  <w:rFonts w:ascii="Times New Roman" w:cs="Times New Roman" w:eastAsia="Times New Roman" w:hAnsi="Times New Roman"/>
                  <w:sz w:val="16"/>
                  <w:szCs w:val="16"/>
                  <w:color w:val="0000EE"/>
                  <w:w w:val="99"/>
                </w:rPr>
                <w:t>Consent of Ebner Stolz Mönning Bachem Wirtschaftsprüfer Steuerberater Rechtsanwälte Partnerschaft mbB (included in Exhibit 8.3)</w:t>
              </w:r>
            </w:hyperlink>
          </w:p>
        </w:tc>
        <w:tc>
          <w:tcPr>
            <w:tcW w:w="1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231F20"/>
                <w:w w:val="95"/>
              </w:rPr>
              <w:t>24.1</w:t>
            </w:r>
            <w:r>
              <w:rPr>
                <w:rFonts w:ascii="Times New Roman" w:cs="Times New Roman" w:eastAsia="Times New Roman" w:hAnsi="Times New Roman"/>
                <w:sz w:val="23"/>
                <w:szCs w:val="23"/>
                <w:color w:val="231F20"/>
                <w:w w:val="95"/>
                <w:vertAlign w:val="superscript"/>
              </w:rPr>
              <w:t>*</w:t>
            </w:r>
          </w:p>
        </w:tc>
        <w:tc>
          <w:tcPr>
            <w:tcW w:w="300" w:type="dxa"/>
            <w:vAlign w:val="bottom"/>
          </w:tcPr>
          <w:p>
            <w:pPr>
              <w:spacing w:after="0"/>
              <w:rPr>
                <w:sz w:val="20"/>
                <w:szCs w:val="20"/>
                <w:color w:val="auto"/>
              </w:rPr>
            </w:pPr>
          </w:p>
        </w:tc>
        <w:tc>
          <w:tcPr>
            <w:tcW w:w="8620" w:type="dxa"/>
            <w:vAlign w:val="bottom"/>
            <w:gridSpan w:val="31"/>
          </w:tcPr>
          <w:p>
            <w:pPr>
              <w:spacing w:after="0"/>
              <w:rPr>
                <w:sz w:val="20"/>
                <w:szCs w:val="20"/>
                <w:color w:val="auto"/>
              </w:rPr>
            </w:pPr>
            <w:r>
              <w:rPr>
                <w:rFonts w:ascii="Times New Roman" w:cs="Times New Roman" w:eastAsia="Times New Roman" w:hAnsi="Times New Roman"/>
                <w:sz w:val="16"/>
                <w:szCs w:val="16"/>
                <w:color w:val="0000EE"/>
              </w:rPr>
              <w:t>Powers of Attorney (included on signature page to the registration statement)</w:t>
            </w:r>
          </w:p>
        </w:tc>
        <w:tc>
          <w:tcPr>
            <w:tcW w:w="0" w:type="dxa"/>
            <w:vAlign w:val="bottom"/>
          </w:tcPr>
          <w:p>
            <w:pPr>
              <w:spacing w:after="0"/>
              <w:rPr>
                <w:sz w:val="1"/>
                <w:szCs w:val="1"/>
                <w:color w:val="auto"/>
              </w:rPr>
            </w:pPr>
          </w:p>
        </w:tc>
      </w:tr>
      <w:tr>
        <w:trPr>
          <w:trHeight w:val="179"/>
        </w:trPr>
        <w:tc>
          <w:tcPr>
            <w:tcW w:w="1000" w:type="dxa"/>
            <w:vAlign w:val="bottom"/>
          </w:tcPr>
          <w:p>
            <w:pPr>
              <w:jc w:val="center"/>
              <w:spacing w:after="0" w:line="179" w:lineRule="exact"/>
              <w:rPr>
                <w:sz w:val="20"/>
                <w:szCs w:val="20"/>
                <w:color w:val="auto"/>
              </w:rPr>
            </w:pPr>
            <w:r>
              <w:rPr>
                <w:rFonts w:ascii="Times New Roman" w:cs="Times New Roman" w:eastAsia="Times New Roman" w:hAnsi="Times New Roman"/>
                <w:sz w:val="14"/>
                <w:szCs w:val="14"/>
                <w:color w:val="231F20"/>
              </w:rPr>
              <w:t>107</w:t>
            </w:r>
            <w:r>
              <w:rPr>
                <w:rFonts w:ascii="Times New Roman" w:cs="Times New Roman" w:eastAsia="Times New Roman" w:hAnsi="Times New Roman"/>
                <w:sz w:val="20"/>
                <w:szCs w:val="20"/>
                <w:color w:val="231F20"/>
                <w:vertAlign w:val="superscript"/>
              </w:rPr>
              <w:t>**</w:t>
            </w:r>
          </w:p>
        </w:tc>
        <w:tc>
          <w:tcPr>
            <w:tcW w:w="300" w:type="dxa"/>
            <w:vAlign w:val="bottom"/>
          </w:tcPr>
          <w:p>
            <w:pPr>
              <w:spacing w:after="0"/>
              <w:rPr>
                <w:sz w:val="15"/>
                <w:szCs w:val="15"/>
                <w:color w:val="auto"/>
              </w:rPr>
            </w:pPr>
          </w:p>
        </w:tc>
        <w:tc>
          <w:tcPr>
            <w:tcW w:w="4920" w:type="dxa"/>
            <w:vAlign w:val="bottom"/>
            <w:tcBorders>
              <w:top w:val="single" w:sz="8" w:color="0000EE"/>
            </w:tcBorders>
            <w:gridSpan w:val="11"/>
          </w:tcPr>
          <w:p>
            <w:pPr>
              <w:spacing w:after="0" w:line="179" w:lineRule="exact"/>
              <w:rPr>
                <w:rFonts w:ascii="Times New Roman" w:cs="Times New Roman" w:eastAsia="Times New Roman" w:hAnsi="Times New Roman"/>
                <w:sz w:val="16"/>
                <w:szCs w:val="16"/>
                <w:color w:val="0000EE"/>
              </w:rPr>
            </w:pPr>
            <w:hyperlink r:id="rId345">
              <w:r>
                <w:rPr>
                  <w:rFonts w:ascii="Times New Roman" w:cs="Times New Roman" w:eastAsia="Times New Roman" w:hAnsi="Times New Roman"/>
                  <w:sz w:val="16"/>
                  <w:szCs w:val="16"/>
                  <w:color w:val="0000EE"/>
                </w:rPr>
                <w:t>Calculation of Filing Fee Table</w:t>
              </w:r>
            </w:hyperlink>
          </w:p>
        </w:tc>
        <w:tc>
          <w:tcPr>
            <w:tcW w:w="370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180" w:type="dxa"/>
            <w:vAlign w:val="bottom"/>
            <w:tcBorders>
              <w:top w:val="single" w:sz="8" w:color="0000EE"/>
              <w:bottom w:val="single" w:sz="8" w:color="auto"/>
            </w:tcBorders>
          </w:tcPr>
          <w:p>
            <w:pPr>
              <w:spacing w:after="0"/>
              <w:rPr>
                <w:sz w:val="10"/>
                <w:szCs w:val="10"/>
                <w:color w:val="auto"/>
              </w:rPr>
            </w:pPr>
          </w:p>
        </w:tc>
        <w:tc>
          <w:tcPr>
            <w:tcW w:w="800" w:type="dxa"/>
            <w:vAlign w:val="bottom"/>
            <w:tcBorders>
              <w:top w:val="single" w:sz="8" w:color="0000EE"/>
            </w:tcBorders>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60" w:right="360" w:hanging="353"/>
        <w:spacing w:after="0" w:line="268" w:lineRule="auto"/>
        <w:tabs>
          <w:tab w:leader="none" w:pos="360" w:val="left"/>
        </w:tabs>
        <w:numPr>
          <w:ilvl w:val="0"/>
          <w:numId w:val="1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Certain information has been excluded because it both (i) is not material and (ii) the registrant customarily and actually treats that information as private or confidential.</w:t>
      </w:r>
    </w:p>
    <w:p>
      <w:pPr>
        <w:ind w:right="8520" w:firstLine="7"/>
        <w:spacing w:after="0" w:line="307" w:lineRule="auto"/>
        <w:tabs>
          <w:tab w:leader="none" w:pos="345" w:val="left"/>
        </w:tabs>
        <w:numPr>
          <w:ilvl w:val="0"/>
          <w:numId w:val="1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Filed herewith. ** Previously filed.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0" w:lineRule="exact"/>
        <w:rPr>
          <w:sz w:val="20"/>
          <w:szCs w:val="20"/>
          <w:color w:val="auto"/>
        </w:rPr>
      </w:pPr>
    </w:p>
    <w:p>
      <w:pPr>
        <w:jc w:val="both"/>
        <w:ind w:right="20" w:firstLine="356"/>
        <w:spacing w:after="0" w:line="260"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Munich, the Federal Republic of Germany on October 7, 2022.</w:t>
      </w:r>
    </w:p>
    <w:p>
      <w:pPr>
        <w:spacing w:after="0" w:line="1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231F20"/>
        </w:rPr>
        <w:t>Sono Group N.V.</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231F20"/>
        </w:rPr>
        <w:t>By /s/ Laurin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15240</wp:posOffset>
            </wp:positionV>
            <wp:extent cx="29648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231F20"/>
        </w:rPr>
        <w:t>Name: Laurin Hahn</w:t>
      </w:r>
    </w:p>
    <w:p>
      <w:pPr>
        <w:spacing w:after="0" w:line="19" w:lineRule="exact"/>
        <w:rPr>
          <w:sz w:val="20"/>
          <w:szCs w:val="20"/>
          <w:color w:val="auto"/>
        </w:rPr>
      </w:pPr>
    </w:p>
    <w:p>
      <w:pPr>
        <w:ind w:left="5240"/>
        <w:spacing w:after="0"/>
        <w:tabs>
          <w:tab w:leader="none" w:pos="5820" w:val="left"/>
        </w:tabs>
        <w:rPr>
          <w:sz w:val="20"/>
          <w:szCs w:val="20"/>
          <w:color w:val="auto"/>
        </w:rPr>
      </w:pPr>
      <w:r>
        <w:rPr>
          <w:rFonts w:ascii="Times New Roman" w:cs="Times New Roman" w:eastAsia="Times New Roman" w:hAnsi="Times New Roman"/>
          <w:sz w:val="17"/>
          <w:szCs w:val="17"/>
          <w:color w:val="231F20"/>
        </w:rPr>
        <w:t>Title:</w:t>
        <w:tab/>
        <w:t>Chief Executive Officer and Member of the Management</w:t>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231F20"/>
        </w:rPr>
        <w:t>Board</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231F20"/>
        </w:rPr>
        <w:t>By /s/ Jona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15240</wp:posOffset>
            </wp:positionV>
            <wp:extent cx="29648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231F20"/>
        </w:rPr>
        <w:t>Name: Jona Christians</w:t>
      </w:r>
    </w:p>
    <w:p>
      <w:pPr>
        <w:spacing w:after="0" w:line="19" w:lineRule="exact"/>
        <w:rPr>
          <w:sz w:val="20"/>
          <w:szCs w:val="20"/>
          <w:color w:val="auto"/>
        </w:rPr>
      </w:pPr>
    </w:p>
    <w:p>
      <w:pPr>
        <w:ind w:left="5240"/>
        <w:spacing w:after="0"/>
        <w:tabs>
          <w:tab w:leader="none" w:pos="5820" w:val="left"/>
        </w:tabs>
        <w:rPr>
          <w:sz w:val="20"/>
          <w:szCs w:val="20"/>
          <w:color w:val="auto"/>
        </w:rPr>
      </w:pPr>
      <w:r>
        <w:rPr>
          <w:rFonts w:ascii="Times New Roman" w:cs="Times New Roman" w:eastAsia="Times New Roman" w:hAnsi="Times New Roman"/>
          <w:sz w:val="17"/>
          <w:szCs w:val="17"/>
          <w:color w:val="231F20"/>
        </w:rPr>
        <w:t>Title:</w:t>
        <w:tab/>
        <w:t>Chief Executive Officer and Member of the Management</w:t>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231F20"/>
        </w:rPr>
        <w:t>Board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POWER OF ATTORNEY</w:t>
      </w:r>
    </w:p>
    <w:p>
      <w:pPr>
        <w:spacing w:after="0" w:line="22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231F20"/>
        </w:rPr>
        <w:t>KNOW ALL PERSONS BY THESE PRESENTS, that each person whose signature appears below does hereby constitute and appoint Laurin Hahn and Jona Christians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87"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231F20"/>
              </w:rPr>
              <w:t>Signature</w:t>
            </w:r>
          </w:p>
        </w:tc>
        <w:tc>
          <w:tcPr>
            <w:tcW w:w="300" w:type="dxa"/>
            <w:vAlign w:val="bottom"/>
          </w:tcPr>
          <w:p>
            <w:pPr>
              <w:spacing w:after="0"/>
              <w:rPr>
                <w:sz w:val="14"/>
                <w:szCs w:val="14"/>
                <w:color w:val="auto"/>
              </w:rPr>
            </w:pPr>
          </w:p>
        </w:tc>
        <w:tc>
          <w:tcPr>
            <w:tcW w:w="39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231F20"/>
              </w:rPr>
              <w:t>Title</w:t>
            </w:r>
          </w:p>
        </w:tc>
        <w:tc>
          <w:tcPr>
            <w:tcW w:w="28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Date</w:t>
            </w:r>
          </w:p>
        </w:tc>
      </w:tr>
      <w:tr>
        <w:trPr>
          <w:trHeight w:val="35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/s/ Laurin Hahn</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Chief Executive Officer and Member of the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October 7, 2022</w:t>
            </w: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231F20"/>
              </w:rPr>
              <w:t>Laurin Hahn</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Management Board</w:t>
            </w:r>
          </w:p>
        </w:tc>
        <w:tc>
          <w:tcPr>
            <w:tcW w:w="1980" w:type="dxa"/>
            <w:vAlign w:val="bottom"/>
          </w:tcPr>
          <w:p>
            <w:pPr>
              <w:spacing w:after="0"/>
              <w:rPr>
                <w:sz w:val="19"/>
                <w:szCs w:val="19"/>
                <w:color w:val="auto"/>
              </w:rPr>
            </w:pPr>
          </w:p>
        </w:tc>
      </w:tr>
      <w:tr>
        <w:trPr>
          <w:trHeight w:val="40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/s/ Jona Christians</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Chief Executive Officer and Member of the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October 7, 2022</w:t>
            </w: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231F20"/>
              </w:rPr>
              <w:t>Jona Christians</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Management Board</w:t>
            </w:r>
          </w:p>
        </w:tc>
        <w:tc>
          <w:tcPr>
            <w:tcW w:w="1980" w:type="dxa"/>
            <w:vAlign w:val="bottom"/>
          </w:tcPr>
          <w:p>
            <w:pPr>
              <w:spacing w:after="0"/>
              <w:rPr>
                <w:sz w:val="19"/>
                <w:szCs w:val="19"/>
                <w:color w:val="auto"/>
              </w:rPr>
            </w:pPr>
          </w:p>
        </w:tc>
      </w:tr>
      <w:tr>
        <w:trPr>
          <w:trHeight w:val="40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 xml:space="preserve">/s/ </w:t>
            </w:r>
            <w:r>
              <w:rPr>
                <w:rFonts w:ascii="Times New Roman" w:cs="Times New Roman" w:eastAsia="Times New Roman" w:hAnsi="Times New Roman"/>
                <w:sz w:val="18"/>
                <w:szCs w:val="18"/>
                <w:color w:val="000000"/>
              </w:rPr>
              <w:t>Torsten Kiedel</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Chief Financial Officer, Controller/Principal</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October 7, 2022</w:t>
            </w: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Torsten Kiedel</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Accounting Officer</w:t>
            </w:r>
          </w:p>
        </w:tc>
        <w:tc>
          <w:tcPr>
            <w:tcW w:w="1980" w:type="dxa"/>
            <w:vAlign w:val="bottom"/>
          </w:tcPr>
          <w:p>
            <w:pPr>
              <w:spacing w:after="0"/>
              <w:rPr>
                <w:sz w:val="19"/>
                <w:szCs w:val="19"/>
                <w:color w:val="auto"/>
              </w:rPr>
            </w:pPr>
          </w:p>
        </w:tc>
      </w:tr>
      <w:tr>
        <w:trPr>
          <w:trHeight w:val="40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/s/ Thomas Hausch</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Chief Operating Officer and Member of the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October 7, 2022</w:t>
            </w: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231F20"/>
              </w:rPr>
              <w:t>Thomas Hausch</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Management Board</w:t>
            </w:r>
          </w:p>
        </w:tc>
        <w:tc>
          <w:tcPr>
            <w:tcW w:w="1980" w:type="dxa"/>
            <w:vAlign w:val="bottom"/>
          </w:tcPr>
          <w:p>
            <w:pPr>
              <w:spacing w:after="0"/>
              <w:rPr>
                <w:sz w:val="19"/>
                <w:szCs w:val="19"/>
                <w:color w:val="auto"/>
              </w:rPr>
            </w:pPr>
          </w:p>
        </w:tc>
      </w:tr>
      <w:tr>
        <w:trPr>
          <w:trHeight w:val="40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/s/ Markus Volmer</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Chief Technology Officer and Member of the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October 7, 2022</w:t>
            </w: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231F20"/>
              </w:rPr>
              <w:t>Markus Volmer</w:t>
            </w:r>
          </w:p>
        </w:tc>
        <w:tc>
          <w:tcPr>
            <w:tcW w:w="4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231F20"/>
              </w:rPr>
              <w:t>Management Board</w:t>
            </w: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SIGNATURE OF AUTHORIZED REPRESENTATIVE IN THE UNITED STATES</w:t>
      </w:r>
    </w:p>
    <w:p>
      <w:pPr>
        <w:spacing w:after="0" w:line="220" w:lineRule="exact"/>
        <w:rPr>
          <w:sz w:val="20"/>
          <w:szCs w:val="20"/>
          <w:color w:val="auto"/>
        </w:rPr>
      </w:pPr>
    </w:p>
    <w:p>
      <w:pPr>
        <w:ind w:firstLine="356"/>
        <w:spacing w:after="0" w:line="304" w:lineRule="auto"/>
        <w:rPr>
          <w:sz w:val="20"/>
          <w:szCs w:val="20"/>
          <w:color w:val="auto"/>
        </w:rPr>
      </w:pPr>
      <w:r>
        <w:rPr>
          <w:rFonts w:ascii="Times New Roman" w:cs="Times New Roman" w:eastAsia="Times New Roman" w:hAnsi="Times New Roman"/>
          <w:sz w:val="17"/>
          <w:szCs w:val="17"/>
          <w:color w:val="231F20"/>
        </w:rPr>
        <w:t>Pursuant to the Securities Act of 1933, as amended, the undersigned, the duly appointed representative in the United States of Sono Group N.V. has signed this registration statement or amendment thereto in the city of Newark, State of Delaware on October 7, 2022.</w:t>
      </w:r>
    </w:p>
    <w:p>
      <w:pPr>
        <w:spacing w:after="0" w:line="15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231F20"/>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15240</wp:posOffset>
            </wp:positionV>
            <wp:extent cx="29565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2956560" cy="825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231F20"/>
        </w:rPr>
        <w:t>Name: Donald J. Puglisi</w:t>
      </w:r>
    </w:p>
    <w:p>
      <w:pPr>
        <w:spacing w:after="0" w:line="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231F20"/>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60"/>
          </w:cols>
          <w:pgMar w:left="980" w:top="506" w:right="125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9"/>
          <w:szCs w:val="19"/>
          <w:b w:val="1"/>
          <w:bCs w:val="1"/>
          <w:color w:val="auto"/>
        </w:rPr>
        <w:t>Exhibit 8.1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ATTORNEYS • CIVIL LAW NOTARIES • TAX ADVISERS</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5"/>
        </w:trPr>
        <w:tc>
          <w:tcPr>
            <w:tcW w:w="4180" w:type="dxa"/>
            <w:vAlign w:val="bottom"/>
          </w:tcPr>
          <w:p>
            <w:pPr>
              <w:spacing w:after="0"/>
              <w:rPr>
                <w:sz w:val="20"/>
                <w:szCs w:val="20"/>
                <w:color w:val="auto"/>
              </w:rPr>
            </w:pPr>
            <w:r>
              <w:rPr>
                <w:rFonts w:ascii="Times New Roman" w:cs="Times New Roman" w:eastAsia="Times New Roman" w:hAnsi="Times New Roman"/>
                <w:sz w:val="19"/>
                <w:szCs w:val="19"/>
                <w:color w:val="auto"/>
              </w:rPr>
              <w:t>Beethovenstraat 400</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180" w:type="dxa"/>
            <w:vAlign w:val="bottom"/>
          </w:tcPr>
          <w:p>
            <w:pPr>
              <w:spacing w:after="0"/>
              <w:rPr>
                <w:sz w:val="20"/>
                <w:szCs w:val="20"/>
                <w:color w:val="auto"/>
              </w:rPr>
            </w:pPr>
            <w:r>
              <w:rPr>
                <w:rFonts w:ascii="Times New Roman" w:cs="Times New Roman" w:eastAsia="Times New Roman" w:hAnsi="Times New Roman"/>
                <w:sz w:val="19"/>
                <w:szCs w:val="19"/>
                <w:color w:val="auto"/>
              </w:rPr>
              <w:t>1082 PR Amsterdam</w:t>
            </w:r>
          </w:p>
        </w:tc>
        <w:tc>
          <w:tcPr>
            <w:tcW w:w="3140" w:type="dxa"/>
            <w:vAlign w:val="bottom"/>
            <w:vMerge w:val="restart"/>
          </w:tcPr>
          <w:p>
            <w:pPr>
              <w:ind w:left="880"/>
              <w:spacing w:after="0"/>
              <w:rPr>
                <w:sz w:val="20"/>
                <w:szCs w:val="20"/>
                <w:color w:val="auto"/>
              </w:rPr>
            </w:pPr>
            <w:r>
              <w:rPr>
                <w:rFonts w:ascii="Times New Roman" w:cs="Times New Roman" w:eastAsia="Times New Roman" w:hAnsi="Times New Roman"/>
                <w:sz w:val="19"/>
                <w:szCs w:val="19"/>
                <w:color w:val="auto"/>
              </w:rPr>
              <w:t>Amsterdam, October 7, 2022</w:t>
            </w:r>
          </w:p>
        </w:tc>
        <w:tc>
          <w:tcPr>
            <w:tcW w:w="0" w:type="dxa"/>
            <w:vAlign w:val="bottom"/>
          </w:tcPr>
          <w:p>
            <w:pPr>
              <w:spacing w:after="0"/>
              <w:rPr>
                <w:sz w:val="1"/>
                <w:szCs w:val="1"/>
                <w:color w:val="auto"/>
              </w:rPr>
            </w:pPr>
          </w:p>
        </w:tc>
      </w:tr>
      <w:tr>
        <w:trPr>
          <w:trHeight w:val="186"/>
        </w:trPr>
        <w:tc>
          <w:tcPr>
            <w:tcW w:w="4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 +31 20 71 71 000</w:t>
            </w: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8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-760730</wp:posOffset>
            </wp:positionV>
            <wp:extent cx="1120140" cy="1263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1120140" cy="12636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To the Company:</w:t>
      </w:r>
    </w:p>
    <w:p>
      <w:pPr>
        <w:spacing w:after="0" w:line="193"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9"/>
          <w:szCs w:val="19"/>
          <w:color w:val="auto"/>
        </w:rPr>
        <w:t>We have acted as tax counsel as to Dutch law to the Company in connection with the filing of the Registration Statement with the SEC. This opinion letter is rendered to you in order to be filed with the SEC as an exhibit to the Registration Statement.</w:t>
      </w:r>
    </w:p>
    <w:p>
      <w:pPr>
        <w:spacing w:after="0" w:line="123"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9"/>
          <w:szCs w:val="19"/>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123" w:lineRule="exact"/>
        <w:rPr>
          <w:sz w:val="20"/>
          <w:szCs w:val="20"/>
          <w:color w:val="auto"/>
        </w:rPr>
      </w:pPr>
    </w:p>
    <w:p>
      <w:pPr>
        <w:jc w:val="both"/>
        <w:ind w:left="1140"/>
        <w:spacing w:after="0" w:line="260" w:lineRule="auto"/>
        <w:rPr>
          <w:sz w:val="20"/>
          <w:szCs w:val="20"/>
          <w:color w:val="auto"/>
        </w:rPr>
      </w:pPr>
      <w:r>
        <w:rPr>
          <w:rFonts w:ascii="Times New Roman" w:cs="Times New Roman" w:eastAsia="Times New Roman" w:hAnsi="Times New Roman"/>
          <w:sz w:val="19"/>
          <w:szCs w:val="19"/>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41"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9"/>
          <w:szCs w:val="19"/>
          <w:color w:val="auto"/>
        </w:rPr>
        <w:t>In rendering the opinion expressed in this opinion letter, we have reviewed and relied upon a draft of the Registration Statement. We have not investigated or verified any factual matter disclosed to us in the course of our review.</w:t>
      </w:r>
    </w:p>
    <w:p>
      <w:pPr>
        <w:spacing w:after="0" w:line="123" w:lineRule="exact"/>
        <w:rPr>
          <w:sz w:val="20"/>
          <w:szCs w:val="20"/>
          <w:color w:val="auto"/>
        </w:rPr>
      </w:pPr>
    </w:p>
    <w:p>
      <w:pPr>
        <w:jc w:val="both"/>
        <w:ind w:left="1140"/>
        <w:spacing w:after="0" w:line="253" w:lineRule="auto"/>
        <w:rPr>
          <w:sz w:val="20"/>
          <w:szCs w:val="20"/>
          <w:color w:val="auto"/>
        </w:rPr>
      </w:pPr>
      <w:r>
        <w:rPr>
          <w:rFonts w:ascii="Times New Roman" w:cs="Times New Roman" w:eastAsia="Times New Roman" w:hAnsi="Times New Roman"/>
          <w:sz w:val="19"/>
          <w:szCs w:val="19"/>
          <w:color w:val="auto"/>
        </w:rPr>
        <w:t>This opinion letter sets out our opinion on certain matters of the tax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law other than the Dutch tax law opinion below. No undertaking is assumed on our part to revise, update or amend this opinion letter in connection with or to notify or inform you of, any developments and/or changes of Dutch tax law subsequent to today's date. We do not purport to opine on the consequences of amendments to the Registration Statement subsequent to the date of this opinion letter.</w:t>
      </w:r>
    </w:p>
    <w:p>
      <w:pPr>
        <w:spacing w:after="0" w:line="134" w:lineRule="exact"/>
        <w:rPr>
          <w:sz w:val="20"/>
          <w:szCs w:val="20"/>
          <w:color w:val="auto"/>
        </w:rPr>
      </w:pPr>
    </w:p>
    <w:p>
      <w:pPr>
        <w:jc w:val="both"/>
        <w:ind w:left="1140"/>
        <w:spacing w:after="0" w:line="255" w:lineRule="auto"/>
        <w:rPr>
          <w:sz w:val="20"/>
          <w:szCs w:val="20"/>
          <w:color w:val="auto"/>
        </w:rPr>
      </w:pPr>
      <w:r>
        <w:rPr>
          <w:rFonts w:ascii="Times New Roman" w:cs="Times New Roman" w:eastAsia="Times New Roman" w:hAnsi="Times New Roman"/>
          <w:sz w:val="19"/>
          <w:szCs w:val="19"/>
          <w:color w:val="auto"/>
        </w:rPr>
        <w:t>The opinion expressed in this opinion letter is to be construed and interpreted in accordance with Dutch tax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140"/>
        <w:spacing w:after="0" w:line="267" w:lineRule="auto"/>
        <w:rPr>
          <w:sz w:val="20"/>
          <w:szCs w:val="20"/>
          <w:color w:val="auto"/>
        </w:rPr>
      </w:pPr>
      <w:r>
        <w:rPr>
          <w:rFonts w:ascii="Times New Roman" w:cs="Times New Roman" w:eastAsia="Times New Roman" w:hAnsi="Times New Roman"/>
          <w:sz w:val="16"/>
          <w:szCs w:val="16"/>
          <w:color w:val="auto"/>
        </w:rPr>
        <w:t>This communication is confidential and may be subject to professional privilege. 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327660</wp:posOffset>
            </wp:positionV>
            <wp:extent cx="629221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120" w:top="325" w:right="999" w:bottom="1440" w:gutter="0" w:footer="0" w:header="0"/>
        </w:sectPr>
      </w:pPr>
    </w:p>
    <w:bookmarkStart w:id="259" w:name="page260"/>
    <w:bookmarkEnd w:id="25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3694430</wp:posOffset>
            </wp:positionH>
            <wp:positionV relativeFrom="page">
              <wp:posOffset>518795</wp:posOffset>
            </wp:positionV>
            <wp:extent cx="1120140" cy="134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1120140" cy="13462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shall be limited to the amount which is paid out under NautaDutilh's insurance policy in the matter concerned.</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No person other than NautaDutilh may be held liable in connection with this opinion letter.</w:t>
      </w:r>
    </w:p>
    <w:p>
      <w:pPr>
        <w:spacing w:after="0" w:line="157"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9"/>
          <w:szCs w:val="19"/>
          <w:color w:val="auto"/>
        </w:rPr>
        <w:t>In this opinion letter and in the Dutch Tax Section, legal and tax concepts are expressed in English terms. The Dutch legal and tax concepts concerned may not be identical in meaning to the concepts described by the English terms as they exist under the law of other jurisdictions. In the event of a conflict or inconsistency, the relevant expression shall be deemed to refer only to the Dutch legal and tax concepts described by the English terms.</w:t>
      </w:r>
    </w:p>
    <w:p>
      <w:pPr>
        <w:spacing w:after="0" w:line="37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For the purposes of this opinion letter, we have assumed that:</w:t>
      </w:r>
    </w:p>
    <w:p>
      <w:pPr>
        <w:spacing w:after="0" w:line="179" w:lineRule="exact"/>
        <w:rPr>
          <w:sz w:val="20"/>
          <w:szCs w:val="20"/>
          <w:color w:val="auto"/>
        </w:rPr>
      </w:pPr>
    </w:p>
    <w:p>
      <w:pPr>
        <w:ind w:left="1140" w:right="20" w:hanging="320"/>
        <w:spacing w:after="0" w:line="262"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Registration Statement has been or will be declared effective by the SEC in the form reviewed by us; and</w:t>
      </w:r>
    </w:p>
    <w:p>
      <w:pPr>
        <w:spacing w:after="0" w:line="384" w:lineRule="exact"/>
        <w:rPr>
          <w:rFonts w:ascii="Times New Roman" w:cs="Times New Roman" w:eastAsia="Times New Roman" w:hAnsi="Times New Roman"/>
          <w:sz w:val="19"/>
          <w:szCs w:val="19"/>
          <w:color w:val="auto"/>
        </w:rPr>
      </w:pPr>
    </w:p>
    <w:p>
      <w:pPr>
        <w:ind w:left="1140" w:right="20" w:hanging="320"/>
        <w:spacing w:after="0" w:line="285"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place of effective management of the Company is in Germany, and not in the Netherlands, and the Company will therefore be a tax resident of Germany under German national tax law.</w:t>
      </w:r>
    </w:p>
    <w:p>
      <w:pPr>
        <w:spacing w:after="0" w:line="105" w:lineRule="exact"/>
        <w:rPr>
          <w:sz w:val="20"/>
          <w:szCs w:val="20"/>
          <w:color w:val="auto"/>
        </w:rPr>
      </w:pPr>
    </w:p>
    <w:p>
      <w:pPr>
        <w:jc w:val="both"/>
        <w:ind w:left="820"/>
        <w:spacing w:after="0" w:line="285" w:lineRule="auto"/>
        <w:rPr>
          <w:sz w:val="20"/>
          <w:szCs w:val="20"/>
          <w:color w:val="auto"/>
        </w:rPr>
      </w:pPr>
      <w:r>
        <w:rPr>
          <w:rFonts w:ascii="Times New Roman" w:cs="Times New Roman" w:eastAsia="Times New Roman" w:hAnsi="Times New Roman"/>
          <w:sz w:val="19"/>
          <w:szCs w:val="19"/>
          <w:color w:val="auto"/>
        </w:rPr>
        <w:t>Based upon and subject to the foregoing and subject to any matters, documents or events not disclosed to us, we express the following opinion:</w:t>
      </w:r>
    </w:p>
    <w:p>
      <w:pPr>
        <w:spacing w:after="0" w:line="1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Dutch Tax Section</w:t>
      </w:r>
    </w:p>
    <w:p>
      <w:pPr>
        <w:spacing w:after="0" w:line="197" w:lineRule="exact"/>
        <w:rPr>
          <w:sz w:val="20"/>
          <w:szCs w:val="20"/>
          <w:color w:val="auto"/>
        </w:rPr>
      </w:pPr>
    </w:p>
    <w:p>
      <w:pPr>
        <w:jc w:val="both"/>
        <w:ind w:left="820"/>
        <w:spacing w:after="0" w:line="263" w:lineRule="auto"/>
        <w:rPr>
          <w:sz w:val="20"/>
          <w:szCs w:val="20"/>
          <w:color w:val="auto"/>
        </w:rPr>
      </w:pPr>
      <w:r>
        <w:rPr>
          <w:rFonts w:ascii="Times New Roman" w:cs="Times New Roman" w:eastAsia="Times New Roman" w:hAnsi="Times New Roman"/>
          <w:sz w:val="19"/>
          <w:szCs w:val="19"/>
          <w:color w:val="auto"/>
        </w:rPr>
        <w:t>The Dutch Tax Section constitutes our opinion and we hereby confirm that with respect to matters of Dutch tax law referred to therein it is accurate and set forth in full as per the date of the Registration Statement, subject to the introduction and exceptions in the first paragraphs of the Dutch Tax Section under the caption “</w:t>
      </w:r>
      <w:r>
        <w:rPr>
          <w:rFonts w:ascii="Times New Roman" w:cs="Times New Roman" w:eastAsia="Times New Roman" w:hAnsi="Times New Roman"/>
          <w:sz w:val="19"/>
          <w:szCs w:val="19"/>
          <w:i w:val="1"/>
          <w:iCs w:val="1"/>
          <w:color w:val="auto"/>
        </w:rPr>
        <w:t>General”</w:t>
      </w:r>
      <w:r>
        <w:rPr>
          <w:rFonts w:ascii="Times New Roman" w:cs="Times New Roman" w:eastAsia="Times New Roman" w:hAnsi="Times New Roman"/>
          <w:sz w:val="19"/>
          <w:szCs w:val="19"/>
          <w:color w:val="auto"/>
        </w:rPr>
        <w:t>.</w:t>
      </w:r>
    </w:p>
    <w:p>
      <w:pPr>
        <w:spacing w:after="0" w:line="356" w:lineRule="exact"/>
        <w:rPr>
          <w:sz w:val="20"/>
          <w:szCs w:val="20"/>
          <w:color w:val="auto"/>
        </w:rPr>
      </w:pPr>
    </w:p>
    <w:p>
      <w:pPr>
        <w:jc w:val="both"/>
        <w:ind w:left="820"/>
        <w:spacing w:after="0" w:line="260" w:lineRule="auto"/>
        <w:rPr>
          <w:sz w:val="20"/>
          <w:szCs w:val="20"/>
          <w:color w:val="auto"/>
        </w:rPr>
      </w:pPr>
      <w:r>
        <w:rPr>
          <w:rFonts w:ascii="Times New Roman" w:cs="Times New Roman" w:eastAsia="Times New Roman" w:hAnsi="Times New Roman"/>
          <w:sz w:val="19"/>
          <w:szCs w:val="19"/>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2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Sincerely yours,</w:t>
      </w:r>
    </w:p>
    <w:p>
      <w:pPr>
        <w:spacing w:after="0" w:line="200" w:lineRule="exact"/>
        <w:rPr>
          <w:sz w:val="20"/>
          <w:szCs w:val="20"/>
          <w:color w:val="auto"/>
        </w:rPr>
      </w:pPr>
    </w:p>
    <w:p>
      <w:pPr>
        <w:spacing w:after="0" w:line="3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/s/ NautaDutilh N.V.</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847090</wp:posOffset>
            </wp:positionV>
            <wp:extent cx="629221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22" w:right="999" w:bottom="1440" w:gutter="0" w:footer="0" w:header="0"/>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179" w:lineRule="exact"/>
        <w:rPr>
          <w:sz w:val="20"/>
          <w:szCs w:val="20"/>
          <w:color w:val="auto"/>
        </w:rPr>
      </w:pPr>
    </w:p>
    <w:p>
      <w:pPr>
        <w:ind w:left="820" w:right="180" w:hanging="8"/>
        <w:spacing w:after="0" w:line="487" w:lineRule="auto"/>
        <w:rPr>
          <w:sz w:val="20"/>
          <w:szCs w:val="20"/>
          <w:color w:val="auto"/>
        </w:rPr>
      </w:pPr>
      <w:r>
        <w:rPr>
          <w:rFonts w:ascii="Times New Roman" w:cs="Times New Roman" w:eastAsia="Times New Roman" w:hAnsi="Times New Roman"/>
          <w:sz w:val="19"/>
          <w:szCs w:val="19"/>
          <w:b w:val="1"/>
          <w:bCs w:val="1"/>
          <w:color w:val="auto"/>
        </w:rPr>
        <w:t xml:space="preserve">LIST OF DEFINITIONS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 Register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w:t>
      </w:r>
    </w:p>
    <w:p>
      <w:pPr>
        <w:spacing w:after="0" w:line="3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Dutch Tax Section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NautaDutilh</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the Netherlands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Offering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Ordinary Shares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 Statement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-388620</wp:posOffset>
            </wp:positionV>
            <wp:extent cx="1120140" cy="134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112014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Dutch Commercial Register (</w:t>
      </w:r>
      <w:r>
        <w:rPr>
          <w:rFonts w:ascii="Times New Roman" w:cs="Times New Roman" w:eastAsia="Times New Roman" w:hAnsi="Times New Roman"/>
          <w:sz w:val="19"/>
          <w:szCs w:val="19"/>
          <w:i w:val="1"/>
          <w:iCs w:val="1"/>
          <w:color w:val="auto"/>
        </w:rPr>
        <w:t>handelsregister</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right="599"/>
        <w:spacing w:after="0" w:line="266" w:lineRule="auto"/>
        <w:rPr>
          <w:sz w:val="20"/>
          <w:szCs w:val="20"/>
          <w:color w:val="auto"/>
        </w:rPr>
      </w:pPr>
      <w:r>
        <w:rPr>
          <w:rFonts w:ascii="Times New Roman" w:cs="Times New Roman" w:eastAsia="Times New Roman" w:hAnsi="Times New Roman"/>
          <w:sz w:val="19"/>
          <w:szCs w:val="19"/>
          <w:color w:val="auto"/>
        </w:rPr>
        <w:t>Sono Group N.V., a public company with limited liability (</w:t>
      </w:r>
      <w:r>
        <w:rPr>
          <w:rFonts w:ascii="Times New Roman" w:cs="Times New Roman" w:eastAsia="Times New Roman" w:hAnsi="Times New Roman"/>
          <w:sz w:val="19"/>
          <w:szCs w:val="19"/>
          <w:i w:val="1"/>
          <w:iCs w:val="1"/>
          <w:color w:val="auto"/>
        </w:rPr>
        <w:t>naamloze vennootschap</w:t>
      </w:r>
      <w:r>
        <w:rPr>
          <w:rFonts w:ascii="Times New Roman" w:cs="Times New Roman" w:eastAsia="Times New Roman" w:hAnsi="Times New Roman"/>
          <w:sz w:val="19"/>
          <w:szCs w:val="19"/>
          <w:color w:val="auto"/>
        </w:rPr>
        <w:t>), registered with the Commercial Register under number 80683568.</w:t>
      </w:r>
    </w:p>
    <w:p>
      <w:pPr>
        <w:spacing w:after="0" w:line="123" w:lineRule="exact"/>
        <w:rPr>
          <w:sz w:val="20"/>
          <w:szCs w:val="20"/>
          <w:color w:val="auto"/>
        </w:rPr>
      </w:pPr>
    </w:p>
    <w:p>
      <w:pPr>
        <w:jc w:val="both"/>
        <w:ind w:right="619"/>
        <w:spacing w:after="0" w:line="285" w:lineRule="auto"/>
        <w:rPr>
          <w:sz w:val="20"/>
          <w:szCs w:val="20"/>
          <w:color w:val="auto"/>
        </w:rPr>
      </w:pPr>
      <w:r>
        <w:rPr>
          <w:rFonts w:ascii="Times New Roman" w:cs="Times New Roman" w:eastAsia="Times New Roman" w:hAnsi="Times New Roman"/>
          <w:sz w:val="19"/>
          <w:szCs w:val="19"/>
          <w:color w:val="auto"/>
        </w:rPr>
        <w:t>The statements contained in the Registration Statement under the caption “Material Dutch Tax Considerations”.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NautaDutilh N.V.</w:t>
      </w:r>
    </w:p>
    <w:p>
      <w:pPr>
        <w:spacing w:after="0" w:line="179" w:lineRule="exact"/>
        <w:rPr>
          <w:sz w:val="20"/>
          <w:szCs w:val="20"/>
          <w:color w:val="auto"/>
        </w:rPr>
      </w:pPr>
    </w:p>
    <w:p>
      <w:pPr>
        <w:jc w:val="both"/>
        <w:ind w:right="599"/>
        <w:spacing w:after="0" w:line="285" w:lineRule="auto"/>
        <w:rPr>
          <w:sz w:val="20"/>
          <w:szCs w:val="20"/>
          <w:color w:val="auto"/>
        </w:rPr>
      </w:pPr>
      <w:r>
        <w:rPr>
          <w:rFonts w:ascii="Times New Roman" w:cs="Times New Roman" w:eastAsia="Times New Roman" w:hAnsi="Times New Roman"/>
          <w:sz w:val="19"/>
          <w:szCs w:val="19"/>
          <w:color w:val="auto"/>
        </w:rPr>
        <w:t>The European territory of the Kingdom of the Netherlands and "</w:t>
      </w:r>
      <w:r>
        <w:rPr>
          <w:rFonts w:ascii="Times New Roman" w:cs="Times New Roman" w:eastAsia="Times New Roman" w:hAnsi="Times New Roman"/>
          <w:sz w:val="19"/>
          <w:szCs w:val="19"/>
          <w:b w:val="1"/>
          <w:bCs w:val="1"/>
          <w:color w:val="auto"/>
        </w:rPr>
        <w:t>Dutch</w:t>
      </w:r>
      <w:r>
        <w:rPr>
          <w:rFonts w:ascii="Times New Roman" w:cs="Times New Roman" w:eastAsia="Times New Roman" w:hAnsi="Times New Roman"/>
          <w:sz w:val="19"/>
          <w:szCs w:val="19"/>
          <w:color w:val="auto"/>
        </w:rPr>
        <w:t>" is in or from the Netherlands.</w:t>
      </w:r>
    </w:p>
    <w:p>
      <w:pPr>
        <w:spacing w:after="0" w:line="105" w:lineRule="exact"/>
        <w:rPr>
          <w:sz w:val="20"/>
          <w:szCs w:val="20"/>
          <w:color w:val="auto"/>
        </w:rPr>
      </w:pPr>
    </w:p>
    <w:p>
      <w:pPr>
        <w:jc w:val="both"/>
        <w:ind w:right="619"/>
        <w:spacing w:after="0" w:line="285" w:lineRule="auto"/>
        <w:rPr>
          <w:sz w:val="20"/>
          <w:szCs w:val="20"/>
          <w:color w:val="auto"/>
        </w:rPr>
      </w:pPr>
      <w:r>
        <w:rPr>
          <w:rFonts w:ascii="Times New Roman" w:cs="Times New Roman" w:eastAsia="Times New Roman" w:hAnsi="Times New Roman"/>
          <w:sz w:val="19"/>
          <w:szCs w:val="19"/>
          <w:color w:val="auto"/>
        </w:rPr>
        <w:t>The offering of Ordinary Shares as contemplated by the Registration Statement.</w:t>
      </w:r>
    </w:p>
    <w:p>
      <w:pPr>
        <w:spacing w:after="0" w:line="105" w:lineRule="exact"/>
        <w:rPr>
          <w:sz w:val="20"/>
          <w:szCs w:val="20"/>
          <w:color w:val="auto"/>
        </w:rPr>
      </w:pPr>
    </w:p>
    <w:p>
      <w:pPr>
        <w:jc w:val="both"/>
        <w:ind w:right="619"/>
        <w:spacing w:after="0" w:line="285" w:lineRule="auto"/>
        <w:rPr>
          <w:sz w:val="20"/>
          <w:szCs w:val="20"/>
          <w:color w:val="auto"/>
        </w:rPr>
      </w:pPr>
      <w:r>
        <w:rPr>
          <w:rFonts w:ascii="Times New Roman" w:cs="Times New Roman" w:eastAsia="Times New Roman" w:hAnsi="Times New Roman"/>
          <w:sz w:val="19"/>
          <w:szCs w:val="19"/>
          <w:color w:val="auto"/>
        </w:rPr>
        <w:t>Ordinary shares in the Company's capital, with a nominal value of EUR 0.06 each.</w:t>
      </w:r>
    </w:p>
    <w:p>
      <w:pPr>
        <w:spacing w:after="0" w:line="105" w:lineRule="exact"/>
        <w:rPr>
          <w:sz w:val="20"/>
          <w:szCs w:val="20"/>
          <w:color w:val="auto"/>
        </w:rPr>
      </w:pPr>
    </w:p>
    <w:p>
      <w:pPr>
        <w:jc w:val="both"/>
        <w:ind w:right="619"/>
        <w:spacing w:after="0" w:line="260" w:lineRule="auto"/>
        <w:rPr>
          <w:sz w:val="20"/>
          <w:szCs w:val="20"/>
          <w:color w:val="auto"/>
        </w:rPr>
      </w:pPr>
      <w:r>
        <w:rPr>
          <w:rFonts w:ascii="Times New Roman" w:cs="Times New Roman" w:eastAsia="Times New Roman" w:hAnsi="Times New Roman"/>
          <w:sz w:val="19"/>
          <w:szCs w:val="19"/>
          <w:color w:val="auto"/>
        </w:rPr>
        <w:t>The Company’s registration statement on Form F-1, as amended by Post-Effective Amendment No. 1, filed or to be filed with the SEC in connection with the Offering in the form reviewed by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734695</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3100" w:space="720"/>
            <w:col w:w="5199"/>
          </w:cols>
          <w:pgMar w:left="1440" w:top="1222" w:right="1440"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1"/>
          <w:szCs w:val="21"/>
          <w:b w:val="1"/>
          <w:bCs w:val="1"/>
          <w:color w:val="auto"/>
        </w:rPr>
        <w:t>Exhibit 8.2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Letterhead of Sullivan &amp; Cromwell LLP</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October 7,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Sono Group N.V.,</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Waldmeisterstraße 76,</w:t>
      </w:r>
    </w:p>
    <w:p>
      <w:pPr>
        <w:ind w:left="960"/>
        <w:spacing w:after="0"/>
        <w:rPr>
          <w:sz w:val="20"/>
          <w:szCs w:val="20"/>
          <w:color w:val="auto"/>
        </w:rPr>
      </w:pPr>
      <w:r>
        <w:rPr>
          <w:rFonts w:ascii="Times New Roman" w:cs="Times New Roman" w:eastAsia="Times New Roman" w:hAnsi="Times New Roman"/>
          <w:sz w:val="21"/>
          <w:szCs w:val="21"/>
          <w:color w:val="auto"/>
        </w:rPr>
        <w:t>80935 Munich, Germany.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0" w:lineRule="exact"/>
        <w:rPr>
          <w:sz w:val="20"/>
          <w:szCs w:val="20"/>
          <w:color w:val="auto"/>
        </w:rPr>
      </w:pPr>
    </w:p>
    <w:p>
      <w:pPr>
        <w:ind w:right="280" w:firstLine="866"/>
        <w:spacing w:after="0" w:line="255" w:lineRule="auto"/>
        <w:rPr>
          <w:sz w:val="20"/>
          <w:szCs w:val="20"/>
          <w:color w:val="auto"/>
        </w:rPr>
      </w:pPr>
      <w:r>
        <w:rPr>
          <w:rFonts w:ascii="Times New Roman" w:cs="Times New Roman" w:eastAsia="Times New Roman" w:hAnsi="Times New Roman"/>
          <w:sz w:val="21"/>
          <w:szCs w:val="21"/>
          <w:color w:val="auto"/>
        </w:rPr>
        <w:t>We have acted as your tax counsel in connection with Sono Group N.V.’s filing of a Post-Effective Amendment No. 1 to the Registration Statement on Form F-1 (as so amended, the “Registration Statement”) with the Securities and Exchange Commission (the “SEC”) on the date hereof.</w:t>
      </w:r>
    </w:p>
    <w:p>
      <w:pPr>
        <w:spacing w:after="0" w:line="159" w:lineRule="exact"/>
        <w:rPr>
          <w:sz w:val="20"/>
          <w:szCs w:val="20"/>
          <w:color w:val="auto"/>
        </w:rPr>
      </w:pPr>
    </w:p>
    <w:p>
      <w:pPr>
        <w:ind w:right="60" w:firstLine="866"/>
        <w:spacing w:after="0" w:line="249" w:lineRule="auto"/>
        <w:rPr>
          <w:sz w:val="20"/>
          <w:szCs w:val="20"/>
          <w:color w:val="auto"/>
        </w:rPr>
      </w:pPr>
      <w:r>
        <w:rPr>
          <w:rFonts w:ascii="Times New Roman" w:cs="Times New Roman" w:eastAsia="Times New Roman" w:hAnsi="Times New Roman"/>
          <w:sz w:val="21"/>
          <w:szCs w:val="21"/>
          <w:color w:val="auto"/>
        </w:rPr>
        <w:t>We hereby confirm to you that, insofar as it relates to matters of United States federal income tax law, the discussion under the caption “Taxation—U.S. Federal Income Tax Considerations” in the prospectus included in the Registration Statement, subject to the qualifications, exceptions, assumptions and limitations contained herein and therein, is our opinion.</w:t>
      </w:r>
    </w:p>
    <w:p>
      <w:pPr>
        <w:spacing w:after="0" w:line="165" w:lineRule="exact"/>
        <w:rPr>
          <w:sz w:val="20"/>
          <w:szCs w:val="20"/>
          <w:color w:val="auto"/>
        </w:rPr>
      </w:pPr>
    </w:p>
    <w:p>
      <w:pPr>
        <w:ind w:right="40" w:firstLine="866"/>
        <w:spacing w:after="0" w:line="250" w:lineRule="auto"/>
        <w:rPr>
          <w:sz w:val="20"/>
          <w:szCs w:val="20"/>
          <w:color w:val="auto"/>
        </w:rPr>
      </w:pPr>
      <w:r>
        <w:rPr>
          <w:rFonts w:ascii="Times New Roman" w:cs="Times New Roman" w:eastAsia="Times New Roman" w:hAnsi="Times New Roman"/>
          <w:sz w:val="21"/>
          <w:szCs w:val="21"/>
          <w:color w:val="auto"/>
        </w:rPr>
        <w:t>We hereby consent to the filing of this opinion with the SEC as Exhibit 8 to the Registration Statement. In giving this consent, we do not hereby admit that we are included in the category of persons whose consent is required under Section 7 of the Securities Act of 1933, as amended, or the rules and regulations of the SEC thereunder.</w:t>
      </w:r>
    </w:p>
    <w:p>
      <w:pPr>
        <w:spacing w:after="0" w:line="200" w:lineRule="exact"/>
        <w:rPr>
          <w:sz w:val="20"/>
          <w:szCs w:val="20"/>
          <w:color w:val="auto"/>
        </w:rPr>
      </w:pPr>
    </w:p>
    <w:p>
      <w:pPr>
        <w:spacing w:after="0" w:line="2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0" w:lineRule="exact"/>
        <w:rPr>
          <w:sz w:val="20"/>
          <w:szCs w:val="20"/>
          <w:color w:val="auto"/>
        </w:rPr>
      </w:pPr>
    </w:p>
    <w:p>
      <w:pPr>
        <w:spacing w:after="0" w:line="27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/s/ Sullivan &amp; Cromwell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15875</wp:posOffset>
            </wp:positionV>
            <wp:extent cx="24682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2468245" cy="8255"/>
                    </a:xfrm>
                    <a:prstGeom prst="rect">
                      <a:avLst/>
                    </a:prstGeom>
                    <a:noFill/>
                  </pic:spPr>
                </pic:pic>
              </a:graphicData>
            </a:graphic>
          </wp:anchor>
        </w:drawing>
      </w:r>
    </w:p>
    <w:p>
      <w:pPr>
        <w:spacing w:after="0" w:line="1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Sullivan &amp; Cromwell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62" w:name="page263"/>
    <w:bookmarkEnd w:id="262"/>
    <w:p>
      <w:pPr>
        <w:ind w:left="8940"/>
        <w:spacing w:after="0"/>
        <w:rPr>
          <w:sz w:val="20"/>
          <w:szCs w:val="20"/>
          <w:color w:val="auto"/>
        </w:rPr>
      </w:pPr>
      <w:r>
        <w:rPr>
          <w:rFonts w:ascii="Times New Roman" w:cs="Times New Roman" w:eastAsia="Times New Roman" w:hAnsi="Times New Roman"/>
          <w:sz w:val="20"/>
          <w:szCs w:val="20"/>
          <w:b w:val="1"/>
          <w:bCs w:val="1"/>
          <w:color w:val="auto"/>
        </w:rPr>
        <w:t>Exhibit 8.3</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Letterhead of Ebner Stolz Mönning Bachem Wirtschaftsprüfer Steuerberater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Rechtsanwälte Partnerschaft mbB</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21"/>
          <w:szCs w:val="21"/>
          <w:color w:val="auto"/>
        </w:rPr>
        <w:t>October 7,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Sono Group N.V.,</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Waldmeisterstraße 76,</w:t>
      </w:r>
    </w:p>
    <w:p>
      <w:pPr>
        <w:ind w:left="640"/>
        <w:spacing w:after="0"/>
        <w:rPr>
          <w:sz w:val="20"/>
          <w:szCs w:val="20"/>
          <w:color w:val="auto"/>
        </w:rPr>
      </w:pPr>
      <w:r>
        <w:rPr>
          <w:rFonts w:ascii="Times New Roman" w:cs="Times New Roman" w:eastAsia="Times New Roman" w:hAnsi="Times New Roman"/>
          <w:sz w:val="21"/>
          <w:szCs w:val="21"/>
          <w:color w:val="auto"/>
        </w:rPr>
        <w:t>80935 Munich, Germany.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0" w:lineRule="exact"/>
        <w:rPr>
          <w:sz w:val="20"/>
          <w:szCs w:val="20"/>
          <w:color w:val="auto"/>
        </w:rPr>
      </w:pPr>
    </w:p>
    <w:p>
      <w:pPr>
        <w:ind w:right="80" w:firstLine="637"/>
        <w:spacing w:after="0" w:line="255" w:lineRule="auto"/>
        <w:rPr>
          <w:sz w:val="20"/>
          <w:szCs w:val="20"/>
          <w:color w:val="auto"/>
        </w:rPr>
      </w:pPr>
      <w:r>
        <w:rPr>
          <w:rFonts w:ascii="Times New Roman" w:cs="Times New Roman" w:eastAsia="Times New Roman" w:hAnsi="Times New Roman"/>
          <w:sz w:val="21"/>
          <w:szCs w:val="21"/>
          <w:color w:val="auto"/>
        </w:rPr>
        <w:t>We have acted as your German tax advisor in connection with Sono Group N.V.'s filing of a Post-Effective Amendment No. 1 to the registration statement on Form F-1 (as so amended, the “Registration Statement”) with the Securities and Exchange Commission (the “SEC”) on the date hereof.</w:t>
      </w:r>
    </w:p>
    <w:p>
      <w:pPr>
        <w:spacing w:after="0" w:line="159" w:lineRule="exact"/>
        <w:rPr>
          <w:sz w:val="20"/>
          <w:szCs w:val="20"/>
          <w:color w:val="auto"/>
        </w:rPr>
      </w:pPr>
    </w:p>
    <w:p>
      <w:pPr>
        <w:ind w:right="320" w:firstLine="637"/>
        <w:spacing w:after="0" w:line="272" w:lineRule="auto"/>
        <w:rPr>
          <w:sz w:val="20"/>
          <w:szCs w:val="20"/>
          <w:color w:val="auto"/>
        </w:rPr>
      </w:pPr>
      <w:r>
        <w:rPr>
          <w:rFonts w:ascii="Times New Roman" w:cs="Times New Roman" w:eastAsia="Times New Roman" w:hAnsi="Times New Roman"/>
          <w:sz w:val="21"/>
          <w:szCs w:val="21"/>
          <w:color w:val="auto"/>
        </w:rPr>
        <w:t>This opinion is limited to German tax law in effect on the date of this opinion. This opinion (including all terms used in it) is to be construed in accordance with German tax law.</w:t>
      </w:r>
    </w:p>
    <w:p>
      <w:pPr>
        <w:spacing w:after="0" w:line="142" w:lineRule="exact"/>
        <w:rPr>
          <w:sz w:val="20"/>
          <w:szCs w:val="20"/>
          <w:color w:val="auto"/>
        </w:rPr>
      </w:pPr>
    </w:p>
    <w:p>
      <w:pPr>
        <w:ind w:firstLine="637"/>
        <w:spacing w:after="0" w:line="272" w:lineRule="auto"/>
        <w:rPr>
          <w:sz w:val="20"/>
          <w:szCs w:val="20"/>
          <w:color w:val="auto"/>
        </w:rPr>
      </w:pPr>
      <w:r>
        <w:rPr>
          <w:rFonts w:ascii="Times New Roman" w:cs="Times New Roman" w:eastAsia="Times New Roman" w:hAnsi="Times New Roman"/>
          <w:sz w:val="21"/>
          <w:szCs w:val="21"/>
          <w:color w:val="auto"/>
        </w:rPr>
        <w:t>For the purpose of this opinion, we have examined the Registration Statement which we determined to be the only document relevant to rendering this opinion, while relying upon the accuracy of the factual statements therein.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purpose of this opinion, we have made the following assumptions:</w:t>
      </w:r>
    </w:p>
    <w:p>
      <w:pPr>
        <w:spacing w:after="0" w:line="210" w:lineRule="exact"/>
        <w:rPr>
          <w:sz w:val="20"/>
          <w:szCs w:val="20"/>
          <w:color w:val="auto"/>
        </w:rPr>
      </w:pPr>
    </w:p>
    <w:p>
      <w:pPr>
        <w:ind w:left="960" w:hanging="317"/>
        <w:spacing w:after="0"/>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Registration Statement has been or will be filed with the SEC in the form referred to in this opinion.</w:t>
      </w:r>
    </w:p>
    <w:p>
      <w:pPr>
        <w:spacing w:after="0" w:line="209"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effective place of management of the Issuer is located in Munich, Germany.</w:t>
      </w:r>
    </w:p>
    <w:p>
      <w:pPr>
        <w:spacing w:after="0" w:line="209"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factual statements in the Registration Statement are true and correct in all respects.</w:t>
      </w:r>
    </w:p>
    <w:p>
      <w:pPr>
        <w:spacing w:after="0" w:line="210" w:lineRule="exact"/>
        <w:rPr>
          <w:sz w:val="20"/>
          <w:szCs w:val="20"/>
          <w:color w:val="auto"/>
        </w:rPr>
      </w:pPr>
    </w:p>
    <w:p>
      <w:pPr>
        <w:ind w:right="300" w:firstLine="637"/>
        <w:spacing w:after="0" w:line="272" w:lineRule="auto"/>
        <w:rPr>
          <w:sz w:val="20"/>
          <w:szCs w:val="20"/>
          <w:color w:val="auto"/>
        </w:rPr>
      </w:pPr>
      <w:r>
        <w:rPr>
          <w:rFonts w:ascii="Times New Roman" w:cs="Times New Roman" w:eastAsia="Times New Roman" w:hAnsi="Times New Roman"/>
          <w:sz w:val="21"/>
          <w:szCs w:val="21"/>
          <w:color w:val="auto"/>
        </w:rPr>
        <w:t>We hereby confirm to you that, insofar as it relates to matters of German tax law, the discussion under the caption “Material German Tax Considerations”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596265</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328" w:lineRule="exact"/>
        <w:rPr>
          <w:sz w:val="20"/>
          <w:szCs w:val="20"/>
          <w:color w:val="auto"/>
        </w:rPr>
      </w:pPr>
    </w:p>
    <w:p>
      <w:pPr>
        <w:ind w:right="720"/>
        <w:spacing w:after="0" w:line="272" w:lineRule="auto"/>
        <w:rPr>
          <w:sz w:val="20"/>
          <w:szCs w:val="20"/>
          <w:color w:val="auto"/>
        </w:rPr>
      </w:pPr>
      <w:r>
        <w:rPr>
          <w:rFonts w:ascii="Times New Roman" w:cs="Times New Roman" w:eastAsia="Times New Roman" w:hAnsi="Times New Roman"/>
          <w:sz w:val="21"/>
          <w:szCs w:val="21"/>
          <w:color w:val="auto"/>
        </w:rPr>
        <w:t>prospectus included in the Registration Statement, subject to the qualifications, exceptions, assumptions and limitations contained herein and therein, is our opinion.</w:t>
      </w:r>
    </w:p>
    <w:p>
      <w:pPr>
        <w:spacing w:after="0" w:line="142" w:lineRule="exact"/>
        <w:rPr>
          <w:sz w:val="20"/>
          <w:szCs w:val="20"/>
          <w:color w:val="auto"/>
        </w:rPr>
      </w:pPr>
    </w:p>
    <w:p>
      <w:pPr>
        <w:ind w:right="280" w:firstLine="637"/>
        <w:spacing w:after="0" w:line="249" w:lineRule="auto"/>
        <w:rPr>
          <w:sz w:val="20"/>
          <w:szCs w:val="20"/>
          <w:color w:val="auto"/>
        </w:rPr>
      </w:pPr>
      <w:r>
        <w:rPr>
          <w:rFonts w:ascii="Times New Roman" w:cs="Times New Roman" w:eastAsia="Times New Roman" w:hAnsi="Times New Roman"/>
          <w:sz w:val="21"/>
          <w:szCs w:val="21"/>
          <w:color w:val="auto"/>
        </w:rPr>
        <w:t>We hereby consent to the filing of this opinion with the SEC as Exhibit 8 to the Registration Statement. In giving this consent, we do not hereby admit that we are included in the category of persons whose consent is required under Section 7 of the Securities Act of 1933, as amended, or the rules and regulations of the SEC thereunder.</w:t>
      </w:r>
    </w:p>
    <w:p>
      <w:pPr>
        <w:spacing w:after="0" w:line="16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/s/ Ebner Stolz Mönning Bachem</w:t>
      </w:r>
    </w:p>
    <w:p>
      <w:pPr>
        <w:ind w:left="4980"/>
        <w:spacing w:after="0" w:line="237" w:lineRule="auto"/>
        <w:rPr>
          <w:sz w:val="20"/>
          <w:szCs w:val="20"/>
          <w:color w:val="auto"/>
        </w:rPr>
      </w:pPr>
      <w:r>
        <w:rPr>
          <w:rFonts w:ascii="Times New Roman" w:cs="Times New Roman" w:eastAsia="Times New Roman" w:hAnsi="Times New Roman"/>
          <w:sz w:val="21"/>
          <w:szCs w:val="21"/>
          <w:color w:val="auto"/>
        </w:rPr>
        <w:t>Wirtschaftsprüfer Steuerberater</w:t>
      </w:r>
    </w:p>
    <w:p>
      <w:pPr>
        <w:ind w:left="4980"/>
        <w:spacing w:after="0"/>
        <w:rPr>
          <w:sz w:val="20"/>
          <w:szCs w:val="20"/>
          <w:color w:val="auto"/>
        </w:rPr>
      </w:pPr>
      <w:r>
        <w:rPr>
          <w:rFonts w:ascii="Times New Roman" w:cs="Times New Roman" w:eastAsia="Times New Roman" w:hAnsi="Times New Roman"/>
          <w:sz w:val="21"/>
          <w:szCs w:val="21"/>
          <w:color w:val="auto"/>
        </w:rPr>
        <w:t>Rechtsanwälte Partnerschaft mbB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635</wp:posOffset>
            </wp:positionV>
            <wp:extent cx="31419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3141980"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1"/>
          <w:szCs w:val="21"/>
          <w:color w:val="auto"/>
        </w:rPr>
        <w:t>Ebner Stolz Mönning Bachem</w:t>
      </w:r>
    </w:p>
    <w:p>
      <w:pPr>
        <w:ind w:left="4980"/>
        <w:spacing w:after="0" w:line="237" w:lineRule="auto"/>
        <w:rPr>
          <w:sz w:val="20"/>
          <w:szCs w:val="20"/>
          <w:color w:val="auto"/>
        </w:rPr>
      </w:pPr>
      <w:r>
        <w:rPr>
          <w:rFonts w:ascii="Times New Roman" w:cs="Times New Roman" w:eastAsia="Times New Roman" w:hAnsi="Times New Roman"/>
          <w:sz w:val="21"/>
          <w:szCs w:val="21"/>
          <w:color w:val="auto"/>
        </w:rPr>
        <w:t>Wirtschaftsprüfer Steuerberater</w:t>
      </w:r>
    </w:p>
    <w:p>
      <w:pPr>
        <w:ind w:left="4980"/>
        <w:spacing w:after="0"/>
        <w:rPr>
          <w:sz w:val="20"/>
          <w:szCs w:val="20"/>
          <w:color w:val="auto"/>
        </w:rPr>
      </w:pPr>
      <w:r>
        <w:rPr>
          <w:rFonts w:ascii="Times New Roman" w:cs="Times New Roman" w:eastAsia="Times New Roman" w:hAnsi="Times New Roman"/>
          <w:sz w:val="21"/>
          <w:szCs w:val="21"/>
          <w:color w:val="auto"/>
        </w:rPr>
        <w:t>Rechtsanwälte Partnerschaft mbB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0"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F-1 of Sono Group N.V. of our report dated April 19, 2022 relating to the financial statements of Sono Group N.V., which appears in this Registration Statement.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Munich, Germany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GmbH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Wirtschaftsprüfungsgesellschaft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/s/Alexander Fiedler</w:t>
            </w:r>
          </w:p>
        </w:tc>
        <w:tc>
          <w:tcPr>
            <w:tcW w:w="65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/s/ppa. Sylvia Eichler</w:t>
            </w:r>
          </w:p>
        </w:tc>
      </w:tr>
      <w:tr>
        <w:trPr>
          <w:trHeight w:val="21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Wirtschaftsprüfer</w:t>
            </w:r>
          </w:p>
        </w:tc>
        <w:tc>
          <w:tcPr>
            <w:tcW w:w="65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Wirtschaftsprüferin</w:t>
            </w:r>
          </w:p>
        </w:tc>
      </w:tr>
      <w:tr>
        <w:trPr>
          <w:trHeight w:val="2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(German Public Auditor)</w:t>
            </w:r>
          </w:p>
        </w:tc>
        <w:tc>
          <w:tcPr>
            <w:tcW w:w="65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(German Public Auditor)</w:t>
            </w:r>
          </w:p>
        </w:tc>
      </w:tr>
      <w:tr>
        <w:trPr>
          <w:trHeight w:val="762"/>
        </w:trPr>
        <w:tc>
          <w:tcPr>
            <w:tcW w:w="34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1)"/>
      <w:numFmt w:val="decimal"/>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1)"/>
      <w:numFmt w:val="lowerRoman"/>
      <w:start w:val="2"/>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1)"/>
      <w:numFmt w:val="lowerRoman"/>
      <w:start w:val="2"/>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1)"/>
      <w:numFmt w:val="decimal"/>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1)"/>
      <w:numFmt w:val="decimal"/>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1)"/>
      <w:numFmt w:val="decimal"/>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1)"/>
      <w:numFmt w:val="lowerRoman"/>
      <w:start w:val="2"/>
    </w:lvl>
  </w:abstractNum>
  <w:abstractNum w:abstractNumId="50">
    <w:nsid w:val="53299938"/>
    <w:multiLevelType w:val="hybridMultilevel"/>
    <w:lvl w:ilvl="0">
      <w:lvlJc w:val="left"/>
      <w:lvlText w:val="(%1)"/>
      <w:numFmt w:val="decimal"/>
      <w:start w:val="1"/>
    </w:lvl>
  </w:abstractNum>
  <w:abstractNum w:abstractNumId="51">
    <w:nsid w:val="1FBFE8E0"/>
    <w:multiLevelType w:val="hybridMultilevel"/>
    <w:lvl w:ilvl="0">
      <w:lvlJc w:val="left"/>
      <w:lvlText w:val="(%1)"/>
      <w:numFmt w:val="decimal"/>
      <w:start w:val="1"/>
    </w:lvl>
  </w:abstractNum>
  <w:abstractNum w:abstractNumId="52">
    <w:nsid w:val="5092CA79"/>
    <w:multiLevelType w:val="hybridMultilevel"/>
    <w:lvl w:ilvl="0">
      <w:lvlJc w:val="left"/>
      <w:lvlText w:val="(%1)"/>
      <w:numFmt w:val="decimal"/>
      <w:start w:val="1"/>
    </w:lvl>
  </w:abstractNum>
  <w:abstractNum w:abstractNumId="53">
    <w:nsid w:val="1D545C4D"/>
    <w:multiLevelType w:val="hybridMultilevel"/>
    <w:lvl w:ilvl="0">
      <w:lvlJc w:val="left"/>
      <w:lvlText w:val="(%1)"/>
      <w:numFmt w:val="decimal"/>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1)"/>
      <w:numFmt w:val="decimal"/>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1)"/>
      <w:numFmt w:val="decimal"/>
      <w:start w:val="1"/>
    </w:lvl>
  </w:abstractNum>
  <w:abstractNum w:abstractNumId="63">
    <w:nsid w:val="7C58FD05"/>
    <w:multiLevelType w:val="hybridMultilevel"/>
    <w:lvl w:ilvl="0">
      <w:lvlJc w:val="left"/>
      <w:lvlText w:val="(%1)"/>
      <w:numFmt w:val="decimal"/>
      <w:start w:val="1"/>
    </w:lvl>
  </w:abstractNum>
  <w:abstractNum w:abstractNumId="64">
    <w:nsid w:val="23D86AAC"/>
    <w:multiLevelType w:val="hybridMultilevel"/>
    <w:lvl w:ilvl="0">
      <w:lvlJc w:val="left"/>
      <w:lvlText w:val="(%1)"/>
      <w:numFmt w:val="decimal"/>
      <w:start w:val="1"/>
    </w:lvl>
  </w:abstractNum>
  <w:abstractNum w:abstractNumId="65">
    <w:nsid w:val="45E6D486"/>
    <w:multiLevelType w:val="hybridMultilevel"/>
    <w:lvl w:ilvl="0">
      <w:lvlJc w:val="left"/>
      <w:lvlText w:val="(%1)"/>
      <w:numFmt w:val="decimal"/>
      <w:start w:val="1"/>
    </w:lvl>
  </w:abstractNum>
  <w:abstractNum w:abstractNumId="66">
    <w:nsid w:val="5C10FE21"/>
    <w:multiLevelType w:val="hybridMultilevel"/>
    <w:lvl w:ilvl="0">
      <w:lvlJc w:val="left"/>
      <w:lvlText w:val="(%1)"/>
      <w:numFmt w:val="decimal"/>
      <w:start w:val="4"/>
    </w:lvl>
  </w:abstractNum>
  <w:abstractNum w:abstractNumId="67">
    <w:nsid w:val="E7FFA2B"/>
    <w:multiLevelType w:val="hybridMultilevel"/>
    <w:lvl w:ilvl="0">
      <w:lvlJc w:val="left"/>
      <w:lvlText w:val="●"/>
      <w:numFmt w:val="bullet"/>
      <w:start w:val="1"/>
    </w:lvl>
  </w:abstractNum>
  <w:abstractNum w:abstractNumId="68">
    <w:nsid w:val="3C5991AA"/>
    <w:multiLevelType w:val="hybridMultilevel"/>
    <w:lvl w:ilvl="0">
      <w:lvlJc w:val="left"/>
      <w:lvlText w:val="(%1)"/>
      <w:numFmt w:val="decimal"/>
      <w:start w:val="1"/>
    </w:lvl>
  </w:abstractNum>
  <w:abstractNum w:abstractNumId="69">
    <w:nsid w:val="4BD8591A"/>
    <w:multiLevelType w:val="hybridMultilevel"/>
    <w:lvl w:ilvl="0">
      <w:lvlJc w:val="left"/>
      <w:lvlText w:val="(%1)"/>
      <w:numFmt w:val="decimal"/>
      <w:start w:val="4"/>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1)"/>
      <w:numFmt w:val="decimal"/>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1)"/>
      <w:numFmt w:val="lowerLetter"/>
      <w:start w:val="1"/>
    </w:lvl>
  </w:abstractNum>
  <w:abstractNum w:abstractNumId="76">
    <w:nsid w:val="2C27173B"/>
    <w:multiLevelType w:val="hybridMultilevel"/>
    <w:lvl w:ilvl="0">
      <w:lvlJc w:val="left"/>
      <w:lvlText w:val="(%1)"/>
      <w:numFmt w:val="lowerLetter"/>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1)"/>
      <w:numFmt w:val="lowerRoman"/>
      <w:start w:val="3"/>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1)"/>
      <w:numFmt w:val="lowerRoman"/>
      <w:start w:val="3"/>
    </w:lvl>
  </w:abstractNum>
  <w:abstractNum w:abstractNumId="81">
    <w:nsid w:val="3DD15094"/>
    <w:multiLevelType w:val="hybridMultilevel"/>
    <w:lvl w:ilvl="0">
      <w:lvlJc w:val="left"/>
      <w:lvlText w:val="●"/>
      <w:numFmt w:val="bullet"/>
      <w:start w:val="1"/>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
      <w:numFmt w:val="bullet"/>
      <w:start w:val="1"/>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
      <w:numFmt w:val="bullet"/>
      <w:start w:val="1"/>
    </w:lvl>
  </w:abstractNum>
  <w:abstractNum w:abstractNumId="92">
    <w:nsid w:val="2C6E4AFD"/>
    <w:multiLevelType w:val="hybridMultilevel"/>
    <w:lvl w:ilvl="0">
      <w:lvlJc w:val="left"/>
      <w:lvlText w:val="●"/>
      <w:numFmt w:val="bullet"/>
      <w:start w:val="1"/>
    </w:lvl>
  </w:abstractNum>
  <w:abstractNum w:abstractNumId="93">
    <w:nsid w:val="17A1B582"/>
    <w:multiLevelType w:val="hybridMultilevel"/>
    <w:lvl w:ilvl="0">
      <w:lvlJc w:val="left"/>
      <w:lvlText w:val="●"/>
      <w:numFmt w:val="bullet"/>
      <w:start w:val="1"/>
    </w:lvl>
  </w:abstractNum>
  <w:abstractNum w:abstractNumId="94">
    <w:nsid w:val="4DF72E4E"/>
    <w:multiLevelType w:val="hybridMultilevel"/>
    <w:lvl w:ilvl="0">
      <w:lvlJc w:val="left"/>
      <w:lvlText w:val="(%1)"/>
      <w:numFmt w:val="lowerRoman"/>
      <w:start w:val="1"/>
    </w:lvl>
  </w:abstractNum>
  <w:abstractNum w:abstractNumId="95">
    <w:nsid w:val="5046B5A9"/>
    <w:multiLevelType w:val="hybridMultilevel"/>
    <w:lvl w:ilvl="0">
      <w:lvlJc w:val="left"/>
      <w:lvlText w:val="(%1)"/>
      <w:numFmt w:val="lowerRoman"/>
      <w:start w:val="1"/>
    </w:lvl>
  </w:abstractNum>
  <w:abstractNum w:abstractNumId="96">
    <w:nsid w:val="5D888A08"/>
    <w:multiLevelType w:val="hybridMultilevel"/>
    <w:lvl w:ilvl="0">
      <w:lvlJc w:val="left"/>
      <w:lvlText w:val="(%1)"/>
      <w:numFmt w:val="lowerRoman"/>
      <w:start w:val="1"/>
    </w:lvl>
  </w:abstractNum>
  <w:abstractNum w:abstractNumId="97">
    <w:nsid w:val="2A082C70"/>
    <w:multiLevelType w:val="hybridMultilevel"/>
    <w:lvl w:ilvl="0">
      <w:lvlJc w:val="left"/>
      <w:lvlText w:val="(%1)"/>
      <w:numFmt w:val="lowerRoman"/>
      <w:start w:val="1"/>
    </w:lvl>
  </w:abstractNum>
  <w:abstractNum w:abstractNumId="98">
    <w:nsid w:val="5EC6AFD4"/>
    <w:multiLevelType w:val="hybridMultilevel"/>
    <w:lvl w:ilvl="0">
      <w:lvlJc w:val="left"/>
      <w:lvlText w:val="(%1)"/>
      <w:numFmt w:val="lowerRoman"/>
      <w:start w:val="1"/>
    </w:lvl>
  </w:abstractNum>
  <w:abstractNum w:abstractNumId="99">
    <w:nsid w:val="19E21BB2"/>
    <w:multiLevelType w:val="hybridMultilevel"/>
    <w:lvl w:ilvl="0">
      <w:lvlJc w:val="left"/>
      <w:lvlText w:val="(%1)"/>
      <w:numFmt w:val="lowerRoman"/>
      <w:start w:val="1"/>
    </w:lvl>
  </w:abstractNum>
  <w:abstractNum w:abstractNumId="100">
    <w:nsid w:val="75E0858A"/>
    <w:multiLevelType w:val="hybridMultilevel"/>
    <w:lvl w:ilvl="0">
      <w:lvlJc w:val="left"/>
      <w:lvlText w:val="(%1)"/>
      <w:numFmt w:val="lowerRoman"/>
      <w:start w:val="2"/>
    </w:lvl>
  </w:abstractNum>
  <w:abstractNum w:abstractNumId="101">
    <w:nsid w:val="57A61A29"/>
    <w:multiLevelType w:val="hybridMultilevel"/>
    <w:lvl w:ilvl="0">
      <w:lvlJc w:val="left"/>
      <w:lvlText w:val="(%1)"/>
      <w:numFmt w:val="lowerRoman"/>
      <w:start w:val="1"/>
    </w:lvl>
  </w:abstractNum>
  <w:abstractNum w:abstractNumId="102">
    <w:nsid w:val="5399C654"/>
    <w:multiLevelType w:val="hybridMultilevel"/>
    <w:lvl w:ilvl="0">
      <w:lvlJc w:val="left"/>
      <w:lvlText w:val="(%1)"/>
      <w:numFmt w:val="lowerRoman"/>
      <w:start w:val="3"/>
    </w:lvl>
  </w:abstractNum>
  <w:abstractNum w:abstractNumId="103">
    <w:nsid w:val="20EE1348"/>
    <w:multiLevelType w:val="hybridMultilevel"/>
    <w:lvl w:ilvl="0">
      <w:lvlJc w:val="left"/>
      <w:lvlText w:val="●"/>
      <w:numFmt w:val="bullet"/>
      <w:start w:val="1"/>
    </w:lvl>
  </w:abstractNum>
  <w:abstractNum w:abstractNumId="104">
    <w:nsid w:val="4427069A"/>
    <w:multiLevelType w:val="hybridMultilevel"/>
    <w:lvl w:ilvl="0">
      <w:lvlJc w:val="left"/>
      <w:lvlText w:val="●"/>
      <w:numFmt w:val="bullet"/>
      <w:start w:val="1"/>
    </w:lvl>
  </w:abstractNum>
  <w:abstractNum w:abstractNumId="105">
    <w:nsid w:val="B37E80A"/>
    <w:multiLevelType w:val="hybridMultilevel"/>
    <w:lvl w:ilvl="0">
      <w:lvlJc w:val="left"/>
      <w:lvlText w:val="●"/>
      <w:numFmt w:val="bullet"/>
      <w:start w:val="1"/>
    </w:lvl>
  </w:abstractNum>
  <w:abstractNum w:abstractNumId="106">
    <w:nsid w:val="2157F6BC"/>
    <w:multiLevelType w:val="hybridMultilevel"/>
    <w:lvl w:ilvl="0">
      <w:lvlJc w:val="left"/>
      <w:lvlText w:val="●"/>
      <w:numFmt w:val="bullet"/>
      <w:start w:val="1"/>
    </w:lvl>
  </w:abstractNum>
  <w:abstractNum w:abstractNumId="107">
    <w:nsid w:val="704E1DD5"/>
    <w:multiLevelType w:val="hybridMultilevel"/>
    <w:lvl w:ilvl="0">
      <w:lvlJc w:val="left"/>
      <w:lvlText w:val="●"/>
      <w:numFmt w:val="bullet"/>
      <w:start w:val="1"/>
    </w:lvl>
  </w:abstractNum>
  <w:abstractNum w:abstractNumId="108">
    <w:nsid w:val="57D2F10E"/>
    <w:multiLevelType w:val="hybridMultilevel"/>
    <w:lvl w:ilvl="0">
      <w:lvlJc w:val="left"/>
      <w:lvlText w:val="●"/>
      <w:numFmt w:val="bullet"/>
      <w:start w:val="1"/>
    </w:lvl>
  </w:abstractNum>
  <w:abstractNum w:abstractNumId="109">
    <w:nsid w:val="BFFAE18"/>
    <w:multiLevelType w:val="hybridMultilevel"/>
    <w:lvl w:ilvl="0">
      <w:lvlJc w:val="left"/>
      <w:lvlText w:val="(%1)"/>
      <w:numFmt w:val="lowerRoman"/>
      <w:start w:val="2"/>
    </w:lvl>
  </w:abstractNum>
  <w:abstractNum w:abstractNumId="110">
    <w:nsid w:val="E3E47A8"/>
    <w:multiLevelType w:val="hybridMultilevel"/>
    <w:lvl w:ilvl="0">
      <w:lvlJc w:val="left"/>
      <w:lvlText w:val="●"/>
      <w:numFmt w:val="bullet"/>
      <w:start w:val="1"/>
    </w:lvl>
  </w:abstractNum>
  <w:abstractNum w:abstractNumId="111">
    <w:nsid w:val="2E48F044"/>
    <w:multiLevelType w:val="hybridMultilevel"/>
    <w:lvl w:ilvl="0">
      <w:lvlJc w:val="left"/>
      <w:lvlText w:val="●"/>
      <w:numFmt w:val="bullet"/>
      <w:start w:val="1"/>
    </w:lvl>
  </w:abstractNum>
  <w:abstractNum w:abstractNumId="112">
    <w:nsid w:val="49D0FEAC"/>
    <w:multiLevelType w:val="hybridMultilevel"/>
    <w:lvl w:ilvl="0">
      <w:lvlJc w:val="left"/>
      <w:lvlText w:val="%1."/>
      <w:numFmt w:val="decimal"/>
      <w:start w:val="1"/>
    </w:lvl>
  </w:abstractNum>
  <w:abstractNum w:abstractNumId="113">
    <w:nsid w:val="4BEE5A5B"/>
    <w:multiLevelType w:val="hybridMultilevel"/>
    <w:lvl w:ilvl="0">
      <w:lvlJc w:val="left"/>
      <w:lvlText w:val="%1."/>
      <w:numFmt w:val="decimal"/>
      <w:start w:val="2"/>
    </w:lvl>
  </w:abstractNum>
  <w:abstractNum w:abstractNumId="114">
    <w:nsid w:val="5551B9F3"/>
    <w:multiLevelType w:val="hybridMultilevel"/>
    <w:lvl w:ilvl="0">
      <w:lvlJc w:val="left"/>
      <w:lvlText w:val="%1."/>
      <w:numFmt w:val="decimal"/>
      <w:start w:val="3"/>
    </w:lvl>
  </w:abstractNum>
  <w:abstractNum w:abstractNumId="115">
    <w:nsid w:val="24F6AB8E"/>
    <w:multiLevelType w:val="hybridMultilevel"/>
    <w:lvl w:ilvl="0">
      <w:lvlJc w:val="left"/>
      <w:lvlText w:val="%1."/>
      <w:numFmt w:val="decimal"/>
      <w:start w:val="4"/>
    </w:lvl>
  </w:abstractNum>
  <w:abstractNum w:abstractNumId="116">
    <w:nsid w:val="634C574C"/>
    <w:multiLevelType w:val="hybridMultilevel"/>
    <w:lvl w:ilvl="0">
      <w:lvlJc w:val="left"/>
      <w:lvlText w:val="%1."/>
      <w:numFmt w:val="decimal"/>
      <w:start w:val="6"/>
    </w:lvl>
  </w:abstractNum>
  <w:abstractNum w:abstractNumId="117">
    <w:nsid w:val="24E99DD7"/>
    <w:multiLevelType w:val="hybridMultilevel"/>
    <w:lvl w:ilvl="0">
      <w:lvlJc w:val="left"/>
      <w:lvlText w:val="%1."/>
      <w:numFmt w:val="decimal"/>
      <w:start w:val="7"/>
    </w:lvl>
  </w:abstractNum>
  <w:abstractNum w:abstractNumId="118">
    <w:nsid w:val="2A31B62D"/>
    <w:multiLevelType w:val="hybridMultilevel"/>
    <w:lvl w:ilvl="0">
      <w:lvlJc w:val="left"/>
      <w:lvlText w:val="*"/>
      <w:numFmt w:val="bullet"/>
      <w:start w:val="1"/>
    </w:lvl>
  </w:abstractNum>
  <w:abstractNum w:abstractNumId="119">
    <w:nsid w:val="1849C29B"/>
    <w:multiLevelType w:val="hybridMultilevel"/>
    <w:lvl w:ilvl="0">
      <w:lvlJc w:val="left"/>
      <w:lvlText w:val="*"/>
      <w:numFmt w:val="bullet"/>
      <w:start w:val="1"/>
    </w:lvl>
  </w:abstractNum>
  <w:abstractNum w:abstractNumId="120">
    <w:nsid w:val="7DFF9D09"/>
    <w:multiLevelType w:val="hybridMultilevel"/>
    <w:lvl w:ilvl="0">
      <w:lvlJc w:val="left"/>
      <w:lvlText w:val="%1."/>
      <w:numFmt w:val="decimal"/>
      <w:start w:val="8"/>
    </w:lvl>
  </w:abstractNum>
  <w:abstractNum w:abstractNumId="121">
    <w:nsid w:val="754342"/>
    <w:multiLevelType w:val="hybridMultilevel"/>
    <w:lvl w:ilvl="0">
      <w:lvlJc w:val="left"/>
      <w:lvlText w:val="*"/>
      <w:numFmt w:val="bullet"/>
      <w:start w:val="1"/>
    </w:lvl>
  </w:abstractNum>
  <w:abstractNum w:abstractNumId="122">
    <w:nsid w:val="69E7F3E5"/>
    <w:multiLevelType w:val="hybridMultilevel"/>
    <w:lvl w:ilvl="0">
      <w:lvlJc w:val="left"/>
      <w:lvlText w:val="*"/>
      <w:numFmt w:val="bullet"/>
      <w:start w:val="1"/>
    </w:lvl>
  </w:abstractNum>
  <w:abstractNum w:abstractNumId="123">
    <w:nsid w:val="2A6DE806"/>
    <w:multiLevelType w:val="hybridMultilevel"/>
    <w:lvl w:ilvl="0">
      <w:lvlJc w:val="left"/>
      <w:lvlText w:val="●"/>
      <w:numFmt w:val="bullet"/>
      <w:start w:val="1"/>
    </w:lvl>
  </w:abstractNum>
  <w:abstractNum w:abstractNumId="124">
    <w:nsid w:val="1816F8C4"/>
    <w:multiLevelType w:val="hybridMultilevel"/>
    <w:lvl w:ilvl="0">
      <w:lvlJc w:val="left"/>
      <w:lvlText w:val="9"/>
      <w:numFmt w:val="bullet"/>
      <w:start w:val="1"/>
    </w:lvl>
  </w:abstractNum>
  <w:abstractNum w:abstractNumId="125">
    <w:nsid w:val="37DF2233"/>
    <w:multiLevelType w:val="hybridMultilevel"/>
    <w:lvl w:ilvl="0">
      <w:lvlJc w:val="left"/>
      <w:lvlText w:val="●"/>
      <w:numFmt w:val="bullet"/>
      <w:start w:val="1"/>
    </w:lvl>
  </w:abstractNum>
  <w:abstractNum w:abstractNumId="126">
    <w:nsid w:val="7AB49DAF"/>
    <w:multiLevelType w:val="hybridMultilevel"/>
    <w:lvl w:ilvl="0">
      <w:lvlJc w:val="left"/>
      <w:lvlText w:val="●"/>
      <w:numFmt w:val="bullet"/>
      <w:start w:val="1"/>
    </w:lvl>
  </w:abstractNum>
  <w:abstractNum w:abstractNumId="127">
    <w:nsid w:val="759F82CD"/>
    <w:multiLevelType w:val="hybridMultilevel"/>
    <w:lvl w:ilvl="0">
      <w:lvlJc w:val="left"/>
      <w:lvlText w:val="*"/>
      <w:numFmt w:val="bullet"/>
      <w:start w:val="1"/>
    </w:lvl>
  </w:abstractNum>
  <w:abstractNum w:abstractNumId="128">
    <w:nsid w:val="61E74EA3"/>
    <w:multiLevelType w:val="hybridMultilevel"/>
    <w:lvl w:ilvl="0">
      <w:lvlJc w:val="left"/>
      <w:lvlText w:val="%1."/>
      <w:numFmt w:val="decimal"/>
      <w:start w:val="1"/>
    </w:lvl>
  </w:abstractNum>
  <w:abstractNum w:abstractNumId="129">
    <w:nsid w:val="597B4D84"/>
    <w:multiLevelType w:val="hybridMultilevel"/>
    <w:lvl w:ilvl="0">
      <w:lvlJc w:val="left"/>
      <w:lvlText w:val="%1."/>
      <w:numFmt w:val="decimal"/>
      <w:start w:val="2"/>
    </w:lvl>
  </w:abstractNum>
  <w:abstractNum w:abstractNumId="130">
    <w:nsid w:val="F819E7F"/>
    <w:multiLevelType w:val="hybridMultilevel"/>
    <w:lvl w:ilvl="0">
      <w:lvlJc w:val="left"/>
      <w:lvlText w:val="%1."/>
      <w:numFmt w:val="decimal"/>
      <w:start w:val="3"/>
    </w:lvl>
  </w:abstractNum>
  <w:abstractNum w:abstractNumId="131">
    <w:nsid w:val="57C7D42D"/>
    <w:multiLevelType w:val="hybridMultilevel"/>
    <w:lvl w:ilvl="0">
      <w:lvlJc w:val="left"/>
      <w:lvlText w:val="%1."/>
      <w:numFmt w:val="decimal"/>
      <w:start w:val="4"/>
    </w:lvl>
  </w:abstractNum>
  <w:abstractNum w:abstractNumId="132">
    <w:nsid w:val="312167AD"/>
    <w:multiLevelType w:val="hybridMultilevel"/>
    <w:lvl w:ilvl="0">
      <w:lvlJc w:val="left"/>
      <w:lvlText w:val="●"/>
      <w:numFmt w:val="bullet"/>
      <w:start w:val="1"/>
    </w:lvl>
  </w:abstractNum>
  <w:abstractNum w:abstractNumId="133">
    <w:nsid w:val="631B64D4"/>
    <w:multiLevelType w:val="hybridMultilevel"/>
    <w:lvl w:ilvl="0">
      <w:lvlJc w:val="left"/>
      <w:lvlText w:val="%1."/>
      <w:numFmt w:val="decimal"/>
      <w:start w:val="1"/>
    </w:lvl>
  </w:abstractNum>
  <w:abstractNum w:abstractNumId="134">
    <w:nsid w:val="78B5E776"/>
    <w:multiLevelType w:val="hybridMultilevel"/>
    <w:lvl w:ilvl="0">
      <w:lvlJc w:val="left"/>
      <w:lvlText w:val="%1)"/>
      <w:numFmt w:val="lowerLetter"/>
      <w:start w:val="1"/>
    </w:lvl>
  </w:abstractNum>
  <w:abstractNum w:abstractNumId="135">
    <w:nsid w:val="75486E47"/>
    <w:multiLevelType w:val="hybridMultilevel"/>
    <w:lvl w:ilvl="0">
      <w:lvlJc w:val="left"/>
      <w:lvlText w:val="%1)"/>
      <w:numFmt w:val="lowerLetter"/>
      <w:start w:val="3"/>
    </w:lvl>
  </w:abstractNum>
  <w:abstractNum w:abstractNumId="136">
    <w:nsid w:val="6E534CDE"/>
    <w:multiLevelType w:val="hybridMultilevel"/>
    <w:lvl w:ilvl="0">
      <w:lvlJc w:val="left"/>
      <w:lvlText w:val="%1)"/>
      <w:numFmt w:val="lowerLetter"/>
      <w:start w:val="1"/>
    </w:lvl>
  </w:abstractNum>
  <w:abstractNum w:abstractNumId="137">
    <w:nsid w:val="1A0DDE32"/>
    <w:multiLevelType w:val="hybridMultilevel"/>
    <w:lvl w:ilvl="0">
      <w:lvlJc w:val="left"/>
      <w:lvlText w:val="%1."/>
      <w:numFmt w:val="decimal"/>
      <w:start w:val="6"/>
    </w:lvl>
  </w:abstractNum>
  <w:abstractNum w:abstractNumId="138">
    <w:nsid w:val="65968C1C"/>
    <w:multiLevelType w:val="hybridMultilevel"/>
    <w:lvl w:ilvl="0">
      <w:lvlJc w:val="left"/>
      <w:lvlText w:val="*"/>
      <w:numFmt w:val="bullet"/>
      <w:start w:val="1"/>
    </w:lvl>
  </w:abstractNum>
  <w:abstractNum w:abstractNumId="139">
    <w:nsid w:val="46263DEC"/>
    <w:multiLevelType w:val="hybridMultilevel"/>
    <w:lvl w:ilvl="0">
      <w:lvlJc w:val="left"/>
      <w:lvlText w:val="*"/>
      <w:numFmt w:val="bullet"/>
      <w:start w:val="1"/>
    </w:lvl>
  </w:abstractNum>
  <w:abstractNum w:abstractNumId="140">
    <w:nsid w:val="260D8C4A"/>
    <w:multiLevelType w:val="hybridMultilevel"/>
    <w:lvl w:ilvl="0">
      <w:lvlJc w:val="left"/>
      <w:lvlText w:val="*"/>
      <w:numFmt w:val="bullet"/>
      <w:start w:val="1"/>
    </w:lvl>
  </w:abstractNum>
  <w:abstractNum w:abstractNumId="141">
    <w:nsid w:val="73D4D3C4"/>
    <w:multiLevelType w:val="hybridMultilevel"/>
    <w:lvl w:ilvl="0">
      <w:lvlJc w:val="left"/>
      <w:lvlText w:val="8"/>
      <w:numFmt w:val="bullet"/>
      <w:start w:val="1"/>
    </w:lvl>
  </w:abstractNum>
  <w:abstractNum w:abstractNumId="142">
    <w:nsid w:val="746F2E30"/>
    <w:multiLevelType w:val="hybridMultilevel"/>
    <w:lvl w:ilvl="0">
      <w:lvlJc w:val="left"/>
      <w:lvlText w:val="*"/>
      <w:numFmt w:val="bullet"/>
      <w:start w:val="1"/>
    </w:lvl>
  </w:abstractNum>
  <w:abstractNum w:abstractNumId="143">
    <w:nsid w:val="6FDE8AF6"/>
    <w:multiLevelType w:val="hybridMultilevel"/>
    <w:lvl w:ilvl="0">
      <w:lvlJc w:val="left"/>
      <w:lvlText w:val="*"/>
      <w:numFmt w:val="bullet"/>
      <w:start w:val="1"/>
    </w:lvl>
  </w:abstractNum>
  <w:abstractNum w:abstractNumId="144">
    <w:nsid w:val="3FC32E20"/>
    <w:multiLevelType w:val="hybridMultilevel"/>
    <w:lvl w:ilvl="0">
      <w:lvlJc w:val="left"/>
      <w:lvlText w:val="●"/>
      <w:numFmt w:val="bullet"/>
      <w:start w:val="1"/>
    </w:lvl>
  </w:abstractNum>
  <w:abstractNum w:abstractNumId="145">
    <w:nsid w:val="49C0E823"/>
    <w:multiLevelType w:val="hybridMultilevel"/>
    <w:lvl w:ilvl="0">
      <w:lvlJc w:val="left"/>
      <w:lvlText w:val="●"/>
      <w:numFmt w:val="bullet"/>
      <w:start w:val="1"/>
    </w:lvl>
  </w:abstractNum>
  <w:abstractNum w:abstractNumId="146">
    <w:nsid w:val="14D53685"/>
    <w:multiLevelType w:val="hybridMultilevel"/>
    <w:lvl w:ilvl="0">
      <w:lvlJc w:val="left"/>
      <w:lvlText w:val="●"/>
      <w:numFmt w:val="bullet"/>
      <w:start w:val="1"/>
    </w:lvl>
  </w:abstractNum>
  <w:abstractNum w:abstractNumId="147">
    <w:nsid w:val="230F856C"/>
    <w:multiLevelType w:val="hybridMultilevel"/>
    <w:lvl w:ilvl="0">
      <w:lvlJc w:val="left"/>
      <w:lvlText w:val="●"/>
      <w:numFmt w:val="bullet"/>
      <w:start w:val="1"/>
    </w:lvl>
  </w:abstractNum>
  <w:abstractNum w:abstractNumId="148">
    <w:nsid w:val="6EAA85FB"/>
    <w:multiLevelType w:val="hybridMultilevel"/>
    <w:lvl w:ilvl="0">
      <w:lvlJc w:val="left"/>
      <w:lvlText w:val="*"/>
      <w:numFmt w:val="bullet"/>
      <w:start w:val="1"/>
    </w:lvl>
  </w:abstractNum>
  <w:abstractNum w:abstractNumId="149">
    <w:nsid w:val="3F06ECB2"/>
    <w:multiLevelType w:val="hybridMultilevel"/>
    <w:lvl w:ilvl="0">
      <w:lvlJc w:val="left"/>
      <w:lvlText w:val="*"/>
      <w:numFmt w:val="bullet"/>
      <w:start w:val="1"/>
    </w:lvl>
  </w:abstractNum>
  <w:abstractNum w:abstractNumId="150">
    <w:nsid w:val="3B594807"/>
    <w:multiLevelType w:val="hybridMultilevel"/>
    <w:lvl w:ilvl="0">
      <w:lvlJc w:val="left"/>
      <w:lvlText w:val="(%1)"/>
      <w:numFmt w:val="lowerLetter"/>
      <w:start w:val="1"/>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
      <w:numFmt w:val="bullet"/>
      <w:start w:val="1"/>
    </w:lvl>
  </w:abstractNum>
  <w:abstractNum w:abstractNumId="153">
    <w:nsid w:val="25413BEC"/>
    <w:multiLevelType w:val="hybridMultilevel"/>
    <w:lvl w:ilvl="0">
      <w:lvlJc w:val="left"/>
      <w:lvlText w:val="(%1)"/>
      <w:numFmt w:val="decimal"/>
      <w:start w:val="1"/>
    </w:lvl>
    <w:lvl w:ilvl="1">
      <w:lvlJc w:val="left"/>
      <w:lvlText w:val="(%2)"/>
      <w:numFmt w:val="lowerRoman"/>
      <w:start w:val="1"/>
    </w:lvl>
  </w:abstractNum>
  <w:abstractNum w:abstractNumId="154">
    <w:nsid w:val="17180B0B"/>
    <w:multiLevelType w:val="hybridMultilevel"/>
    <w:lvl w:ilvl="0">
      <w:lvlJc w:val="left"/>
      <w:lvlText w:val="%1"/>
      <w:numFmt w:val="decimal"/>
      <w:start w:val="1"/>
    </w:lvl>
    <w:lvl w:ilvl="1">
      <w:lvlJc w:val="left"/>
      <w:lvlText w:val="(%2)"/>
      <w:numFmt w:val="lowerRoman"/>
      <w:start w:val="3"/>
    </w:lvl>
  </w:abstractNum>
  <w:abstractNum w:abstractNumId="155">
    <w:nsid w:val="579328B9"/>
    <w:multiLevelType w:val="hybridMultilevel"/>
    <w:lvl w:ilvl="0">
      <w:lvlJc w:val="left"/>
      <w:lvlText w:val="(%1)"/>
      <w:numFmt w:val="decimal"/>
      <w:start w:val="2"/>
    </w:lvl>
    <w:lvl w:ilvl="1">
      <w:lvlJc w:val="left"/>
      <w:lvlText w:val="(%2)"/>
      <w:numFmt w:val="lowerRoman"/>
      <w:start w:val="1"/>
    </w:lvl>
  </w:abstractNum>
  <w:abstractNum w:abstractNumId="156">
    <w:nsid w:val="5D205E20"/>
    <w:multiLevelType w:val="hybridMultilevel"/>
    <w:lvl w:ilvl="0">
      <w:lvlJc w:val="left"/>
      <w:lvlText w:val="†"/>
      <w:numFmt w:val="bullet"/>
      <w:start w:val="1"/>
    </w:lvl>
  </w:abstractNum>
  <w:abstractNum w:abstractNumId="157">
    <w:nsid w:val="11CCA8BA"/>
    <w:multiLevelType w:val="hybridMultilevel"/>
    <w:lvl w:ilvl="0">
      <w:lvlJc w:val="left"/>
      <w:lvlText w:val="*"/>
      <w:numFmt w:val="bullet"/>
      <w:start w:val="1"/>
    </w:lvl>
  </w:abstractNum>
  <w:abstractNum w:abstractNumId="158">
    <w:nsid w:val="4D32AB86"/>
    <w:multiLevelType w:val="hybridMultilevel"/>
    <w:lvl w:ilvl="0">
      <w:lvlJc w:val="left"/>
      <w:lvlText w:val="%1."/>
      <w:numFmt w:val="lowerLetter"/>
      <w:start w:val="1"/>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jpeg"/><Relationship Id="rId353" Type="http://schemas.openxmlformats.org/officeDocument/2006/relationships/image" Target="media/image328.png"/><Relationship Id="rId354" Type="http://schemas.openxmlformats.org/officeDocument/2006/relationships/image" Target="media/image329.jpeg"/><Relationship Id="rId355" Type="http://schemas.openxmlformats.org/officeDocument/2006/relationships/image" Target="media/image330.png"/><Relationship Id="rId356" Type="http://schemas.openxmlformats.org/officeDocument/2006/relationships/image" Target="media/image331.jpe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28" Type="http://schemas.openxmlformats.org/officeDocument/2006/relationships/hyperlink" Target="https://www.sec.gov/Archives/edgar/data/1840416/000110465921128923/tm212911d8_ex3-1.htm" TargetMode="External"/><Relationship Id="rId329" Type="http://schemas.openxmlformats.org/officeDocument/2006/relationships/hyperlink" Target="https://www.sec.gov/Archives/edgar/data/1840416/000110465921135375/tm212911d11_ex3-2.htm" TargetMode="External"/><Relationship Id="rId330" Type="http://schemas.openxmlformats.org/officeDocument/2006/relationships/hyperlink" Target="https://www.sec.gov/Archives/edgar/data/1840416/000110465921135375/tm212911d11_ex3-3.htm" TargetMode="External"/><Relationship Id="rId331" Type="http://schemas.openxmlformats.org/officeDocument/2006/relationships/hyperlink" Target="https://www.sec.gov/Archives/edgar/data/1840416/000110465921135375/tm212911d11_ex4-1.htm" TargetMode="External"/><Relationship Id="rId332" Type="http://schemas.openxmlformats.org/officeDocument/2006/relationships/hyperlink" Target="https://www.sec.gov/Archives/edgar/data/1840416/000110465922070624/tm2217592d3_ex10-1.htm" TargetMode="External"/><Relationship Id="rId333" Type="http://schemas.openxmlformats.org/officeDocument/2006/relationships/hyperlink" Target="https://www.sec.gov/Archives/edgar/data/1840416/000110465922070624/tm2217592d3_ex10-2.htm" TargetMode="External"/><Relationship Id="rId334" Type="http://schemas.openxmlformats.org/officeDocument/2006/relationships/hyperlink" Target="https://www.sec.gov/Archives/edgar/data/1840416/000110465922070649/sev-20220613xex5d1.htm" TargetMode="External"/><Relationship Id="rId335" Type="http://schemas.openxmlformats.org/officeDocument/2006/relationships/hyperlink" Target="https://www.sec.gov/Archives/edgar/data/1840416/000110465921128923/tm212911d8_ex10-1.htm" TargetMode="External"/><Relationship Id="rId336" Type="http://schemas.openxmlformats.org/officeDocument/2006/relationships/hyperlink" Target="https://www.sec.gov/Archives/edgar/data/1840416/000110465921128923/tm212911d8_ex10-2.htm" TargetMode="External"/><Relationship Id="rId337" Type="http://schemas.openxmlformats.org/officeDocument/2006/relationships/hyperlink" Target="https://www.sec.gov/Archives/edgar/data/1840416/000110465921128923/tm212911d8_ex10-3.htm" TargetMode="External"/><Relationship Id="rId338" Type="http://schemas.openxmlformats.org/officeDocument/2006/relationships/hyperlink" Target="https://www.sec.gov/Archives/edgar/data/1840416/000110465921128923/tm212911d8_ex10-4.htm" TargetMode="External"/><Relationship Id="rId339" Type="http://schemas.openxmlformats.org/officeDocument/2006/relationships/hyperlink" Target="https://www.sec.gov/Archives/edgar/data/1840416/000117184322002652/ex_358875.htm" TargetMode="External"/><Relationship Id="rId340" Type="http://schemas.openxmlformats.org/officeDocument/2006/relationships/hyperlink" Target="https://www.sec.gov/Archives/edgar/data/1840416/000110465921135375/tm212911d11_ex14-1.htm" TargetMode="External"/><Relationship Id="rId341" Type="http://schemas.openxmlformats.org/officeDocument/2006/relationships/hyperlink" Target="https://www.sec.gov/Archives/edgar/data/1840416/000110465921128923/tm212911d8_ex21-1.htm" TargetMode="External"/><Relationship Id="rId342" Type="http://schemas.openxmlformats.org/officeDocument/2006/relationships/hyperlink" Target="https://www.sec.gov/Archives/edgar/data/1840416/000110465922070649/sev-20220613xex8d1.htm" TargetMode="External"/><Relationship Id="rId343" Type="http://schemas.openxmlformats.org/officeDocument/2006/relationships/hyperlink" Target="https://www.sec.gov/Archives/edgar/data/1840416/000110465922070649/sev-20220613xex8d2.htm" TargetMode="External"/><Relationship Id="rId344" Type="http://schemas.openxmlformats.org/officeDocument/2006/relationships/hyperlink" Target="https://www.sec.gov/Archives/edgar/data/1840416/000110465922070649/sev-20220613xex8d3.htm" TargetMode="External"/><Relationship Id="rId345" Type="http://schemas.openxmlformats.org/officeDocument/2006/relationships/hyperlink" Target="https://www.sec.gov/Archives/edgar/data/1840416/000110465922070649/sev-20220613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2022-10-07T16:43:24Z</dcterms:created>
  <dcterms:modified xsi:type="dcterms:W3CDTF">2022-10-07T16:43:24Z</dcterms:modified>
</cp:coreProperties>
</file>