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240"/>
        <w:jc w:val="center"/>
        <w:rPr>
          <w:bdr w:val="single" w:sz="20" w:space="1" w:color="000000"/>
        </w:rPr>
      </w:pPr>
      <w:bookmarkStart w:id="0" w:name="f6k_042123.htm"/>
      <w:bookmarkStart w:id="1" w:name="ksf6k_042123"/>
      <w:bookmarkEnd w:id="0"/>
      <w:bookmarkEnd w:id="1"/>
      <w:r>
        <w:rPr>
          <w:bdr w:val="single" w:sz="20" w:space="1" w:color="000000"/>
        </w:rPr>
        <w:t> </w:t>
      </w:r>
    </w:p>
    <w:p>
      <w:pPr>
        <w:pStyle w:val="TextBody"/>
        <w:jc w:val="center"/>
        <w:rPr/>
      </w:pPr>
      <w:r>
        <w:rPr>
          <w:rStyle w:val="StrongEmphasis"/>
          <w:sz w:val="36"/>
        </w:rPr>
        <w:t>UNITED STATES</w:t>
      </w:r>
      <w:r>
        <w:rPr>
          <w:sz w:val="36"/>
        </w:rPr>
        <w:br/>
      </w:r>
      <w:r>
        <w:rPr>
          <w:rStyle w:val="StrongEmphasis"/>
          <w:sz w:val="36"/>
        </w:rPr>
        <w:t>SECURITIES AND EXCHANGE COMMISSION</w:t>
      </w:r>
      <w:r>
        <w:rPr>
          <w:sz w:val="36"/>
        </w:rPr>
        <w:br/>
      </w:r>
      <w:r>
        <w:rPr>
          <w:rStyle w:val="StrongEmphasis"/>
          <w:sz w:val="28"/>
        </w:rPr>
        <w:t>Washington, D.C. 20549</w:t>
      </w:r>
    </w:p>
    <w:p>
      <w:pPr>
        <w:pStyle w:val="TextBody"/>
        <w:jc w:val="center"/>
        <w:rPr/>
      </w:pPr>
      <w:r>
        <w:rPr/>
        <w:t>____________________________________________________________</w:t>
      </w:r>
    </w:p>
    <w:p>
      <w:pPr>
        <w:pStyle w:val="TextBody"/>
        <w:jc w:val="center"/>
        <w:rPr/>
      </w:pPr>
      <w:r>
        <w:rPr>
          <w:rStyle w:val="StrongEmphasis"/>
          <w:caps/>
          <w:sz w:val="36"/>
        </w:rPr>
        <w:t>Form 6-K</w:t>
      </w:r>
    </w:p>
    <w:p>
      <w:pPr>
        <w:pStyle w:val="TextBody"/>
        <w:jc w:val="center"/>
        <w:rPr/>
      </w:pPr>
      <w:r>
        <w:rPr>
          <w:rStyle w:val="StrongEmphasis"/>
        </w:rPr>
        <w:t>____________________________________________________________</w:t>
      </w:r>
    </w:p>
    <w:p>
      <w:pPr>
        <w:pStyle w:val="TextBody"/>
        <w:jc w:val="center"/>
        <w:rPr/>
      </w:pPr>
      <w:r>
        <w:rPr>
          <w:rStyle w:val="StrongEmphasis"/>
          <w:sz w:val="28"/>
        </w:rPr>
        <w:t xml:space="preserve">REPORT OF FOREIGN PRIVATE ISSUER </w:t>
        <w:br/>
        <w:t xml:space="preserve">PURSUANT TO RULE 13a-16 OR 15d-16 </w:t>
        <w:br/>
        <w:t>UNDER THE SECURITIES EXCHANGE ACT OF 1934</w:t>
      </w:r>
    </w:p>
    <w:p>
      <w:pPr>
        <w:pStyle w:val="TextBody"/>
        <w:jc w:val="center"/>
        <w:rPr/>
      </w:pPr>
      <w:r>
        <w:rPr>
          <w:rStyle w:val="StrongEmphasis"/>
          <w:sz w:val="24"/>
        </w:rPr>
        <w:t>For the month of April 2023</w:t>
      </w:r>
    </w:p>
    <w:p>
      <w:pPr>
        <w:pStyle w:val="TextBody"/>
        <w:jc w:val="center"/>
        <w:rPr/>
      </w:pPr>
      <w:r>
        <w:rPr>
          <w:sz w:val="24"/>
        </w:rPr>
        <w:t xml:space="preserve">Commission File Number: </w:t>
      </w:r>
      <w:r>
        <w:rPr>
          <w:rStyle w:val="StrongEmphasis"/>
          <w:sz w:val="24"/>
        </w:rPr>
        <w:t>001-41066</w:t>
      </w:r>
    </w:p>
    <w:p>
      <w:pPr>
        <w:pStyle w:val="TextBody"/>
        <w:jc w:val="center"/>
        <w:rPr/>
      </w:pPr>
      <w:r>
        <w:rPr>
          <w:rStyle w:val="StrongEmphasis"/>
        </w:rPr>
        <w:t>____________________________________________________________</w:t>
      </w:r>
      <w:r>
        <w:rPr/>
        <w:t> </w:t>
      </w:r>
    </w:p>
    <w:p>
      <w:pPr>
        <w:pStyle w:val="TextBody"/>
        <w:jc w:val="center"/>
        <w:rPr/>
      </w:pPr>
      <w:r>
        <w:rPr>
          <w:rStyle w:val="StrongEmphasis"/>
          <w:sz w:val="52"/>
        </w:rPr>
        <w:t>Sono Group N.V.</w:t>
      </w:r>
      <w:r>
        <w:rPr/>
        <w:br/>
      </w:r>
      <w:r>
        <w:rPr>
          <w:sz w:val="24"/>
        </w:rPr>
        <w:t>(Registrant’s name)</w:t>
      </w:r>
    </w:p>
    <w:p>
      <w:pPr>
        <w:pStyle w:val="TextBody"/>
        <w:jc w:val="center"/>
        <w:rPr/>
      </w:pPr>
      <w:r>
        <w:rPr/>
        <w:t>____________________________________________________________</w:t>
      </w:r>
    </w:p>
    <w:p>
      <w:pPr>
        <w:pStyle w:val="TextBody"/>
        <w:jc w:val="center"/>
        <w:rPr/>
      </w:pPr>
      <w:r>
        <w:rPr>
          <w:rStyle w:val="StrongEmphasis"/>
          <w:sz w:val="28"/>
        </w:rPr>
        <w:t>Waldmeisterstraße 76</w:t>
        <w:br/>
        <w:t>80935 Munich</w:t>
        <w:br/>
        <w:t>Germany</w:t>
      </w:r>
      <w:r>
        <w:rPr>
          <w:sz w:val="28"/>
        </w:rPr>
        <w:br/>
      </w:r>
      <w:r>
        <w:rPr>
          <w:sz w:val="24"/>
        </w:rPr>
        <w:t>(Address of principal executive offices)</w:t>
      </w:r>
    </w:p>
    <w:p>
      <w:pPr>
        <w:pStyle w:val="TextBody"/>
        <w:jc w:val="center"/>
        <w:rPr/>
      </w:pPr>
      <w:r>
        <w:rPr/>
        <w:t>____________________________________________________________</w:t>
      </w:r>
    </w:p>
    <w:p>
      <w:pPr>
        <w:pStyle w:val="TextBody"/>
        <w:jc w:val="center"/>
        <w:rPr/>
      </w:pPr>
      <w:r>
        <w:rPr/>
        <w:t>Indicate by check mark whether the registrant files or will file annual reports under cover of Form 20-F or Form 40-F.</w:t>
      </w:r>
    </w:p>
    <w:p>
      <w:pPr>
        <w:pStyle w:val="TextBody"/>
        <w:jc w:val="center"/>
        <w:rPr/>
      </w:pPr>
      <w:r>
        <w:rPr/>
        <w:t>Form 20-F [ X ]      Form 40-F [   ]</w:t>
      </w:r>
    </w:p>
    <w:p>
      <w:pPr>
        <w:pStyle w:val="HorizontalLine"/>
        <w:pBdr>
          <w:bottom w:val="single" w:sz="20" w:space="0" w:color="808080"/>
        </w:pBdr>
        <w:rPr/>
      </w:pPr>
      <w:r>
        <w:rPr/>
      </w:r>
    </w:p>
    <w:p>
      <w:pPr>
        <w:pStyle w:val="TextBody"/>
        <w:spacing w:before="0" w:after="0"/>
        <w:ind w:left="0" w:right="0" w:hanging="0"/>
        <w:rPr/>
      </w:pPr>
      <w:r>
        <w:rPr>
          <w:rStyle w:val="StrongEmphasis"/>
          <w:rFonts w:ascii="Times New Roman;Times;Serif" w:hAnsi="Times New Roman;Times;Serif"/>
          <w:b w:val="false"/>
          <w:i w:val="false"/>
          <w:caps w:val="false"/>
          <w:smallCaps w:val="false"/>
          <w:color w:val="333333"/>
          <w:sz w:val="20"/>
        </w:rPr>
        <w:t>Resignation of Members of Sono Group N.V.’s Supervisory Board</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On April 21, 2023, four members of the supervisory board of Sono Group N.V. (the “Company”) resigned as members of the Company’s supervisory board and as members of the Company’s supervisory board committees, as applicable, with immediate effect. The members of the Company’s supervisory board were:</w:t>
      </w:r>
    </w:p>
    <w:p>
      <w:pPr>
        <w:pStyle w:val="TextBody"/>
        <w:spacing w:before="0" w:after="0"/>
        <w:ind w:left="0" w:right="0" w:hanging="0"/>
        <w:rPr>
          <w:caps w:val="false"/>
          <w:smallCaps w:val="false"/>
          <w:color w:val="333333"/>
        </w:rPr>
      </w:pPr>
      <w:r>
        <w:rPr>
          <w:caps w:val="false"/>
          <w:smallCaps w:val="false"/>
          <w:color w:val="333333"/>
        </w:rPr>
        <w:t> </w:t>
      </w:r>
    </w:p>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Martina Buchhauser, chairperson of the supervisory board, independent member of the audit committee and chairperson of the nomination and corporate governance committee; </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Sebastian Böttger, independent member of the audit committee, and chairperson of the compensation committee;</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Robert A. Jeffe, vice chairperson of the supervisory board, chairperson, independent member and financial expert of the audit committee, and member of the compensation committee; and</w:t>
            </w:r>
          </w:p>
        </w:tc>
      </w:tr>
    </w:tbl>
    <w:tbl>
      <w:tblPr>
        <w:tblW w:w="5000" w:type="pct"/>
        <w:jc w:val="left"/>
        <w:tblInd w:w="0" w:type="dxa"/>
        <w:tblCellMar>
          <w:top w:w="0" w:type="dxa"/>
          <w:left w:w="0" w:type="dxa"/>
          <w:bottom w:w="0" w:type="dxa"/>
          <w:right w:w="0" w:type="dxa"/>
        </w:tblCellMar>
      </w:tblPr>
      <w:tblGrid>
        <w:gridCol w:w="74"/>
        <w:gridCol w:w="125"/>
        <w:gridCol w:w="10006"/>
      </w:tblGrid>
      <w:tr>
        <w:trPr/>
        <w:tc>
          <w:tcPr>
            <w:tcW w:w="74"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Arnd Schwierholz, member of the supervisory board, member of the audit committee and member of the nomination and corporate governance committee.</w:t>
            </w:r>
          </w:p>
        </w:tc>
      </w:tr>
    </w:tbl>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Johannes Tischler, who was nominated by Laurin Hahn, will continue to serve on the Company’s supervisory board and the supervisory board can thus continue to perform its duties.</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Company has commenced the process of finding suitable candidates to fill the vacancies on its supervisory board as promptly as reasonably practicable, taking into account the Company’s nomination arrangement pursuant to which the Company’s Co-Chief Executive Officers and Co-Founders, Laurin Hahn and Jona Christians, acting individually, are each permitted to make a binding nomination for one supervisory board member. Once suitable candidates have been identified, the Company shall convene a general meeting of shareholders to appoint them.</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pPr>
      <w:r>
        <w:rPr>
          <w:rStyle w:val="StrongEmphasis"/>
          <w:rFonts w:ascii="Times New Roman;Times;Serif" w:hAnsi="Times New Roman;Times;Serif"/>
          <w:b w:val="false"/>
          <w:i w:val="false"/>
          <w:caps w:val="false"/>
          <w:smallCaps w:val="false"/>
          <w:color w:val="333333"/>
          <w:sz w:val="20"/>
        </w:rPr>
        <w:t>Non-Compliance with Nasdaq Audit Committee Requirements</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As a consequence of the resignation of all members of the Company’s supervisory board except Johannes Trischler described above, the Company will not have any supervisory board committees until new candidates for the Company’s supervisory board have been identified and appointed. As a result, the Company is no longer in compliance with Nasdaq Listing Rule 5605(c)(2)(A), which requires a listed company to have an audit committee composed of at least three members, who each meet the criteria for independence set forth in Rule 10A-4(b)(1) under the Securities Exchange Act of 1934.</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On April 21, 2023, the Company notified The Nasdaq Stock Market, Inc. that it was not in compliance with Nasdaq Listing Rule 5605(c)(2)(A) as a result of the resignation of four members of its supervisory board, including those who served on the audit committee.</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Under Nasdaq Rule 5810(c)(2)(ii), as a result of having more than one vacancy on the audit committee, the Company believes it will be granted 45 days from the date of notice of non-compliance it expects to receive by Nasdaq to submit a plan of compliance to Nasdaq. After reviewing the Company’s plan, Nasdaq may accept it and grant the Company an extension of up to 180 calendar days from the date of notice of non-compliance by Nasdaq to regain compliance. If Nasdaq does not accept the plan of compliance, the Company may appeal Nasdaq’s decision before a Nasdaq Hearing Panel.</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Company intends to take all necessary steps to regain compliance with the Nasdaq Listing Rules by filling the audit committee vacancies on a timely basis with new members of its supervisory board, who fulfill the requirements of the Nasdaq listing rules applicable to audit committee members.</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pPr>
      <w:r>
        <w:rPr>
          <w:rStyle w:val="StrongEmphasis"/>
          <w:rFonts w:ascii="Times New Roman;Times;Serif" w:hAnsi="Times New Roman;Times;Serif"/>
          <w:b w:val="false"/>
          <w:i w:val="false"/>
          <w:caps w:val="false"/>
          <w:smallCaps w:val="false"/>
          <w:color w:val="333333"/>
          <w:sz w:val="20"/>
        </w:rPr>
        <w:t>About This Document</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Exhibit 99.1 attached hereto includes a press release issued by the Company on April 21, 2023.</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pPr>
      <w:r>
        <w:rPr>
          <w:rStyle w:val="StrongEmphasis"/>
          <w:rFonts w:ascii="Times New Roman;Times;Serif" w:hAnsi="Times New Roman;Times;Serif"/>
          <w:b w:val="false"/>
          <w:i w:val="false"/>
          <w:caps w:val="false"/>
          <w:smallCaps w:val="false"/>
          <w:color w:val="333333"/>
          <w:sz w:val="20"/>
        </w:rPr>
        <w:t>Forward-Looking Statements</w:t>
      </w:r>
    </w:p>
    <w:p>
      <w:pPr>
        <w:pStyle w:val="TextBody"/>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U.S. Securities and Exchange Commission (“SEC”), which are accessible on the SEC’s website at www.sec.gov and on the Company’s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pStyle w:val="HorizontalLine"/>
        <w:pBdr>
          <w:bottom w:val="single" w:sz="20" w:space="0" w:color="808080"/>
        </w:pBdr>
        <w:rPr/>
      </w:pPr>
      <w:r>
        <w:rPr/>
      </w:r>
    </w:p>
    <w:p>
      <w:pPr>
        <w:pStyle w:val="TextBody"/>
        <w:jc w:val="center"/>
        <w:rPr/>
      </w:pPr>
      <w:r>
        <w:rPr>
          <w:rStyle w:val="StrongEmphasis"/>
          <w:sz w:val="20"/>
        </w:rPr>
        <w:t>EXHIBIT INDEX</w:t>
      </w:r>
    </w:p>
    <w:tbl>
      <w:tblPr>
        <w:tblW w:w="3805" w:type="dxa"/>
        <w:jc w:val="left"/>
        <w:tblInd w:w="0" w:type="dxa"/>
        <w:tblCellMar>
          <w:top w:w="0" w:type="dxa"/>
          <w:left w:w="0" w:type="dxa"/>
          <w:bottom w:w="0" w:type="dxa"/>
          <w:right w:w="0" w:type="dxa"/>
        </w:tblCellMar>
      </w:tblPr>
      <w:tblGrid>
        <w:gridCol w:w="635"/>
        <w:gridCol w:w="300"/>
        <w:gridCol w:w="2870"/>
      </w:tblGrid>
      <w:tr>
        <w:trPr/>
        <w:tc>
          <w:tcPr>
            <w:tcW w:w="635" w:type="dxa"/>
            <w:tcBorders/>
            <w:shd w:fill="auto" w:val="clear"/>
            <w:vAlign w:val="bottom"/>
          </w:tcPr>
          <w:p>
            <w:pPr>
              <w:pStyle w:val="TableContents"/>
              <w:spacing w:before="0" w:after="283"/>
              <w:rPr>
                <w:sz w:val="20"/>
                <w:u w:val="single"/>
              </w:rPr>
            </w:pPr>
            <w:r>
              <w:rPr>
                <w:sz w:val="20"/>
                <w:u w:val="single"/>
              </w:rPr>
              <w:t>Exhibit</w:t>
            </w:r>
          </w:p>
        </w:tc>
        <w:tc>
          <w:tcPr>
            <w:tcW w:w="300" w:type="dxa"/>
            <w:tcBorders/>
            <w:shd w:fill="auto" w:val="clear"/>
            <w:vAlign w:val="center"/>
          </w:tcPr>
          <w:p>
            <w:pPr>
              <w:pStyle w:val="TableContents"/>
              <w:spacing w:before="0" w:after="283"/>
              <w:rPr/>
            </w:pPr>
            <w:r>
              <w:rPr/>
              <w:t> </w:t>
            </w:r>
          </w:p>
        </w:tc>
        <w:tc>
          <w:tcPr>
            <w:tcW w:w="2870" w:type="dxa"/>
            <w:tcBorders/>
            <w:shd w:fill="auto" w:val="clear"/>
            <w:vAlign w:val="bottom"/>
          </w:tcPr>
          <w:p>
            <w:pPr>
              <w:pStyle w:val="TableContents"/>
              <w:spacing w:before="0" w:after="283"/>
              <w:rPr>
                <w:sz w:val="20"/>
                <w:u w:val="single"/>
              </w:rPr>
            </w:pPr>
            <w:r>
              <w:rPr>
                <w:sz w:val="20"/>
                <w:u w:val="single"/>
              </w:rPr>
              <w:t>Description of Exhibit</w:t>
            </w:r>
          </w:p>
        </w:tc>
      </w:tr>
      <w:tr>
        <w:trPr/>
        <w:tc>
          <w:tcPr>
            <w:tcW w:w="635"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pPr>
            <w:hyperlink w:anchor="exh_991.htm">
              <w:r>
                <w:rPr>
                  <w:rStyle w:val="InternetLink"/>
                  <w:sz w:val="20"/>
                </w:rPr>
                <w:t>99.1</w:t>
              </w:r>
            </w:hyperlink>
          </w:p>
        </w:tc>
        <w:tc>
          <w:tcPr>
            <w:tcW w:w="30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283"/>
              <w:rPr/>
            </w:pPr>
            <w:hyperlink w:anchor="exh_991.htm">
              <w:r>
                <w:rPr>
                  <w:rStyle w:val="InternetLink"/>
                  <w:sz w:val="20"/>
                </w:rPr>
                <w:t>Press Release dated April 21, 2023</w:t>
              </w:r>
            </w:hyperlink>
            <w:r>
              <w:rPr>
                <w:sz w:val="20"/>
              </w:rPr>
              <w:t xml:space="preserve"> </w:t>
            </w:r>
          </w:p>
        </w:tc>
      </w:tr>
    </w:tbl>
    <w:p>
      <w:pPr>
        <w:pStyle w:val="HorizontalLine"/>
        <w:pBdr>
          <w:bottom w:val="single" w:sz="20" w:space="0" w:color="808080"/>
        </w:pBdr>
        <w:rPr/>
      </w:pPr>
      <w:r>
        <w:rPr/>
      </w:r>
    </w:p>
    <w:p>
      <w:pPr>
        <w:pStyle w:val="TextBody"/>
        <w:jc w:val="center"/>
        <w:rPr/>
      </w:pPr>
      <w:r>
        <w:rPr>
          <w:rStyle w:val="StrongEmphasis"/>
        </w:rPr>
        <w:t>SIGNATURES</w:t>
      </w:r>
    </w:p>
    <w:p>
      <w:pPr>
        <w:pStyle w:val="TextBody"/>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4796"/>
        <w:gridCol w:w="612"/>
        <w:gridCol w:w="4797"/>
      </w:tblGrid>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rStyle w:val="StrongEmphasis"/>
                <w:u w:val="single"/>
              </w:rPr>
              <w:t>    </w:t>
            </w:r>
            <w:r>
              <w:rPr>
                <w:rStyle w:val="StrongEmphasis"/>
                <w:u w:val="single"/>
              </w:rPr>
              <w:t>Sono Group N.V.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(Registrant)</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pPr>
            <w:r>
              <w:rPr/>
              <w:t>Date: April 21, 2023</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u w:val="single"/>
              </w:rPr>
            </w:pPr>
            <w:r>
              <w:rPr>
                <w:u w:val="single"/>
              </w:rPr>
              <w:t>    </w:t>
            </w:r>
            <w:r>
              <w:rPr>
                <w:u w:val="single"/>
              </w:rPr>
              <w:t>/s/ Jona Christians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Jona Christians</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Chief Executive Officer and Member of the Management Board</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pPr>
            <w:r>
              <w:rPr/>
              <w:t>Date: April 21, 2023</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u w:val="single"/>
              </w:rPr>
            </w:pPr>
            <w:r>
              <w:rPr>
                <w:u w:val="single"/>
              </w:rPr>
              <w:t>    </w:t>
            </w:r>
            <w:r>
              <w:rPr>
                <w:u w:val="single"/>
              </w:rPr>
              <w:t>/s/ Torsten Kiedel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Torsten Kiedel</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Chief Financial Officer and Member of the Management Board</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bl>
    <w:p>
      <w:pPr>
        <w:pStyle w:val="TextBody"/>
        <w:jc w:val="right"/>
        <w:rPr/>
      </w:pPr>
      <w:r>
        <w:br w:type="page"/>
      </w:r>
      <w:bookmarkStart w:id="2" w:name="exh_991.htm"/>
      <w:bookmarkStart w:id="3" w:name="ksexh_991"/>
      <w:bookmarkEnd w:id="2"/>
      <w:bookmarkEnd w:id="3"/>
      <w:r>
        <w:rPr>
          <w:rStyle w:val="StrongEmphasis"/>
        </w:rPr>
        <w:t>EXHIBIT 99.1</w:t>
      </w:r>
    </w:p>
    <w:p>
      <w:pPr>
        <w:pStyle w:val="TextBody"/>
        <w:jc w:val="center"/>
        <w:rPr/>
      </w:pPr>
      <w:r>
        <w:rPr>
          <w:rStyle w:val="StrongEmphasis"/>
        </w:rPr>
        <w:t>Following Pivot to a Pure Solar Tech Company, Members of Sono Group N.V.’s Supervisory Board Resign</w:t>
      </w:r>
    </w:p>
    <w:p>
      <w:pPr>
        <w:pStyle w:val="TextBody"/>
        <w:numPr>
          <w:ilvl w:val="0"/>
          <w:numId w:val="2"/>
        </w:numPr>
        <w:tabs>
          <w:tab w:val="clear" w:pos="1134"/>
          <w:tab w:val="left" w:pos="707" w:leader="none"/>
        </w:tabs>
        <w:spacing w:before="0" w:after="0"/>
        <w:ind w:left="707" w:hanging="283"/>
        <w:rPr/>
      </w:pPr>
      <w:r>
        <w:rPr>
          <w:rStyle w:val="StrongEmphasis"/>
        </w:rPr>
        <w:t>On 24 February 2023 Sono Group N.V. Committed to Focus Exclusively on Solar Business for B2B Customers, And Terminated the Sion Passenger Car Program</w:t>
      </w:r>
    </w:p>
    <w:p>
      <w:pPr>
        <w:pStyle w:val="TextBody"/>
        <w:numPr>
          <w:ilvl w:val="0"/>
          <w:numId w:val="2"/>
        </w:numPr>
        <w:tabs>
          <w:tab w:val="clear" w:pos="1134"/>
          <w:tab w:val="left" w:pos="707" w:leader="none"/>
        </w:tabs>
        <w:ind w:left="707" w:hanging="283"/>
        <w:rPr/>
      </w:pPr>
      <w:r>
        <w:rPr>
          <w:rStyle w:val="StrongEmphasis"/>
        </w:rPr>
        <w:t>Against This Background, Members of Its Supervisory Board Have Resigned</w:t>
      </w:r>
    </w:p>
    <w:p>
      <w:pPr>
        <w:pStyle w:val="TextBody"/>
        <w:rPr/>
      </w:pPr>
      <w:r>
        <w:rPr/>
        <w:t>MUNICH, Germany, April 21, 2023 (GLOBE NEWSWIRE) -- On 24 February 2023, Sono Group N.V. (NASDAQ: SEV) (“Sono Motors” or the “Company”) announced its commitment to change its business model to focus exclusively on its solar business for B2B customers and to terminate the Sion passenger car program. This has led to a shift in the Company’s business model and operations away from its supervisory board members’ strong expertise in the areas of automotive, digitalization, and Community-focus. Against this background four members of the Company’s supervisory board, Chair Martina Buchhauser, Vice-Chair Robert Jeffe, Arnd Schwierholz, and Community Representative Sebastian Böttger, today, 21 April 2023, announced their resignation with immediate effect.</w:t>
      </w:r>
    </w:p>
    <w:p>
      <w:pPr>
        <w:pStyle w:val="TextBody"/>
        <w:rPr/>
      </w:pPr>
      <w:r>
        <w:rPr/>
        <w:t>Jona Christians, co-founder and Co-CEO of Sono Motors: “Based on their experience, Martina, Robert, Arnd, and Sebastian have made an important contribution to our company. We are very grateful for the dedication they’ve shown to our mission in the past and wish them all the best for the future.”</w:t>
      </w:r>
    </w:p>
    <w:p>
      <w:pPr>
        <w:pStyle w:val="TextBody"/>
        <w:rPr/>
      </w:pPr>
      <w:r>
        <w:rPr/>
        <w:t>Johannes Tischler, who was nominated to the supervisory board by Laurin Hahn, will continue to serve on the Company’s supervisory board and the supervisory board can thus continue to perform its duties.</w:t>
      </w:r>
    </w:p>
    <w:p>
      <w:pPr>
        <w:pStyle w:val="TextBody"/>
        <w:rPr/>
      </w:pPr>
      <w:r>
        <w:rPr/>
        <w:t>The Company has commenced the process of finding suitable candidates to fill the vacancies on its supervisory board as promptly as reasonably practicable, taking into account the Company’s nomination arrangement pursuant to which the Company’s Co-CEOs and Co-Founders, Laurin Hahn and Jona Christians, acting individually, are each permitted to make a binding nomination for one supervisory board member. Once suitable candidates have been identified, the Company shall convene a general meeting of shareholders to appoint them.</w:t>
      </w:r>
    </w:p>
    <w:p>
      <w:pPr>
        <w:pStyle w:val="TextBody"/>
        <w:rPr/>
      </w:pPr>
      <w:r>
        <w:rPr/>
        <w:t>As a consequence of the resignation of all members of the Company’s supervisory board except Johannes Trischler described above, the Company will not have any supervisory board committees until new candidates for the Company’s supervisory board have been identified and appointed.</w:t>
      </w:r>
    </w:p>
    <w:p>
      <w:pPr>
        <w:pStyle w:val="TextBody"/>
        <w:jc w:val="left"/>
        <w:rPr/>
      </w:pPr>
      <w:r>
        <w:rPr>
          <w:rStyle w:val="StrongEmphasis"/>
        </w:rPr>
        <w:t>ABOUT SONO MOTORS</w:t>
      </w:r>
      <w:r>
        <w:rPr/>
        <w:br/>
        <w:t>Sono Group N.V. (NASDAQ: SEV) is on a pioneering mission to accelerate the revolution of mobility by making every vehicle solar. Sono Motors’ disruptive solar technology has been engineered to be seamlessly integrated into a variety of vehicle architectures — including third-party OEM cars, buses, refrigerated vehicles, and recreational vehicles — to extend range and reduce fuel costs as well as the impact of CO2 emissions, paving the way for climate-friendly mobility.</w:t>
      </w:r>
    </w:p>
    <w:p>
      <w:pPr>
        <w:pStyle w:val="TextBody"/>
        <w:rPr/>
      </w:pPr>
      <w:r>
        <w:rPr>
          <w:rStyle w:val="StrongEmphasis"/>
        </w:rPr>
        <w:t>CONTACT</w:t>
      </w:r>
      <w:r>
        <w:rPr/>
        <w:t xml:space="preserve"> </w:t>
        <w:br/>
        <w:t xml:space="preserve">Press: </w:t>
      </w:r>
      <w:r>
        <w:rPr>
          <w:u w:val="single"/>
        </w:rPr>
        <w:t>press@sonomotors.com</w:t>
      </w:r>
      <w:r>
        <w:rPr/>
        <w:t xml:space="preserve"> </w:t>
        <w:br/>
        <w:t>IR: ir@sonomotors.com</w:t>
      </w:r>
    </w:p>
    <w:p>
      <w:pPr>
        <w:pStyle w:val="TextBody"/>
        <w:spacing w:before="0" w:after="283"/>
        <w:rPr/>
      </w:pPr>
      <w:r>
        <w:rPr>
          <w:rStyle w:val="StrongEmphasis"/>
        </w:rPr>
        <w:t>FORWARD-LOOKING STATEMENTS</w:t>
      </w:r>
      <w:r>
        <w:rPr/>
        <w:br/>
        <w:t>This press release includes forward-looking statements. The words "expect", "anticipate", "intends",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U.S. Securities and Exchange Commission (“SEC”), which are accessible on the SEC’s website at www.sec.gov and on the Company’s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1646</Words>
  <CharactersWithSpaces>11335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